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AE8" w:rsidRDefault="00497E53" w:rsidP="00230CAF">
      <w:pPr>
        <w:pStyle w:val="a7"/>
        <w:spacing w:line="560" w:lineRule="exact"/>
      </w:pPr>
      <w:r>
        <w:t>《青年人才竞争力与精准选聘服务指引》</w:t>
      </w:r>
      <w:r w:rsidR="001B5A5A">
        <w:rPr>
          <w:rFonts w:hint="eastAsia"/>
        </w:rPr>
        <w:t>简版</w:t>
      </w:r>
    </w:p>
    <w:p w:rsidR="000E3AE8" w:rsidRDefault="000E3AE8" w:rsidP="00230CAF">
      <w:pPr>
        <w:pStyle w:val="a3"/>
        <w:ind w:firstLine="616"/>
      </w:pPr>
    </w:p>
    <w:p w:rsidR="000E3AE8" w:rsidRDefault="00497E53" w:rsidP="00230CAF">
      <w:pPr>
        <w:pStyle w:val="1"/>
        <w:ind w:firstLineChars="0" w:firstLine="640"/>
      </w:pPr>
      <w:r>
        <w:rPr>
          <w:rFonts w:hint="eastAsia"/>
        </w:rPr>
        <w:t>一、</w:t>
      </w:r>
      <w:r>
        <w:t>编制背景与战略意义</w:t>
      </w:r>
    </w:p>
    <w:p w:rsidR="000E3AE8" w:rsidRDefault="00497E53" w:rsidP="00230CAF">
      <w:pPr>
        <w:pStyle w:val="2"/>
        <w:ind w:firstLineChars="0" w:firstLine="640"/>
        <w:rPr>
          <w:rFonts w:ascii="楷体_GB2312" w:hAnsi="楷体_GB2312"/>
        </w:rPr>
      </w:pPr>
      <w:r>
        <w:rPr>
          <w:rFonts w:hint="eastAsia"/>
        </w:rPr>
        <w:t>（一）</w:t>
      </w:r>
      <w:r>
        <w:t>编制背景</w:t>
      </w:r>
    </w:p>
    <w:p w:rsidR="000E3AE8" w:rsidRDefault="00497E53" w:rsidP="00230CAF">
      <w:pPr>
        <w:pStyle w:val="a3"/>
        <w:ind w:firstLine="616"/>
        <w:rPr>
          <w:color w:val="1F2329"/>
        </w:rPr>
      </w:pPr>
      <w:r>
        <w:rPr>
          <w:color w:val="1F2329"/>
        </w:rPr>
        <w:t>当前，朝阳区正</w:t>
      </w:r>
      <w:r w:rsidRPr="00E95586">
        <w:rPr>
          <w:rFonts w:ascii="仿宋" w:eastAsia="仿宋" w:hAnsi="仿宋"/>
          <w:color w:val="1F2329"/>
        </w:rPr>
        <w:t>深入实施“</w:t>
      </w:r>
      <w:r w:rsidRPr="00961855">
        <w:rPr>
          <w:color w:val="1F2329"/>
        </w:rPr>
        <w:t>商务</w:t>
      </w:r>
      <w:r w:rsidRPr="00961855">
        <w:rPr>
          <w:rFonts w:hint="eastAsia"/>
          <w:color w:val="1F2329"/>
        </w:rPr>
        <w:t>+</w:t>
      </w:r>
      <w:r w:rsidRPr="00961855">
        <w:rPr>
          <w:color w:val="1F2329"/>
        </w:rPr>
        <w:t>科技</w:t>
      </w:r>
      <w:r w:rsidRPr="00E95586">
        <w:rPr>
          <w:rFonts w:ascii="仿宋" w:eastAsia="仿宋" w:hAnsi="仿宋"/>
          <w:color w:val="1F2329"/>
        </w:rPr>
        <w:t>”双</w:t>
      </w:r>
      <w:r>
        <w:rPr>
          <w:color w:val="1F2329"/>
        </w:rPr>
        <w:t>轮驱动战略，加快培育新质生产力，对高素质青年人才需求持续攀升。与此同时，区域人才供需结构性矛盾较为突出，重点产业人才紧缺与毕业生就业适配度不高并存，青年人才职业规划模糊、实践能力不足、</w:t>
      </w:r>
      <w:proofErr w:type="gramStart"/>
      <w:r>
        <w:rPr>
          <w:color w:val="1F2329"/>
        </w:rPr>
        <w:t>人岗匹配</w:t>
      </w:r>
      <w:proofErr w:type="gramEnd"/>
      <w:r>
        <w:rPr>
          <w:color w:val="1F2329"/>
        </w:rPr>
        <w:t>效率偏低等问题较为明显。面对全球青年人才竞争日趋激烈的新形势，传</w:t>
      </w:r>
      <w:r w:rsidRPr="00E95586">
        <w:rPr>
          <w:rFonts w:ascii="仿宋" w:eastAsia="仿宋" w:hAnsi="仿宋"/>
          <w:color w:val="1F2329"/>
        </w:rPr>
        <w:t>统“</w:t>
      </w:r>
      <w:r w:rsidRPr="00961855">
        <w:rPr>
          <w:color w:val="1F2329"/>
        </w:rPr>
        <w:t>被动式、粗放式</w:t>
      </w:r>
      <w:r w:rsidRPr="00E95586">
        <w:rPr>
          <w:rFonts w:ascii="仿宋" w:eastAsia="仿宋" w:hAnsi="仿宋"/>
          <w:color w:val="1F2329"/>
        </w:rPr>
        <w:t>”引</w:t>
      </w:r>
      <w:r>
        <w:rPr>
          <w:color w:val="1F2329"/>
        </w:rPr>
        <w:t>才模式已难以满足高质量发展需要，亟需通过系统化研究、数据化支撑、精准化施策，</w:t>
      </w:r>
      <w:proofErr w:type="gramStart"/>
      <w:r>
        <w:rPr>
          <w:color w:val="1F2329"/>
        </w:rPr>
        <w:t>构建全</w:t>
      </w:r>
      <w:proofErr w:type="gramEnd"/>
      <w:r>
        <w:rPr>
          <w:color w:val="1F2329"/>
        </w:rPr>
        <w:t>周期、前置化、闭环</w:t>
      </w:r>
      <w:proofErr w:type="gramStart"/>
      <w:r>
        <w:rPr>
          <w:color w:val="1F2329"/>
        </w:rPr>
        <w:t>式人才引</w:t>
      </w:r>
      <w:proofErr w:type="gramEnd"/>
      <w:r>
        <w:rPr>
          <w:color w:val="1F2329"/>
        </w:rPr>
        <w:t>育体系。本指引的编制，既是服务区域产业升级与人</w:t>
      </w:r>
      <w:r w:rsidRPr="00961855">
        <w:rPr>
          <w:color w:val="1F2329"/>
        </w:rPr>
        <w:t>才高质量集聚的客观需要，也是为朝阳区</w:t>
      </w:r>
      <w:r w:rsidRPr="00E95586">
        <w:rPr>
          <w:rFonts w:ascii="仿宋" w:eastAsia="仿宋" w:hAnsi="仿宋"/>
          <w:color w:val="1F2329"/>
        </w:rPr>
        <w:t>“</w:t>
      </w:r>
      <w:r w:rsidRPr="00961855">
        <w:rPr>
          <w:color w:val="1F2329"/>
        </w:rPr>
        <w:t>展翼未来</w:t>
      </w:r>
      <w:r w:rsidRPr="00961855">
        <w:rPr>
          <w:color w:val="1F2329"/>
        </w:rPr>
        <w:t xml:space="preserve"> </w:t>
      </w:r>
      <w:r w:rsidRPr="00961855">
        <w:rPr>
          <w:color w:val="1F2329"/>
        </w:rPr>
        <w:t>才子朝阳</w:t>
      </w:r>
      <w:r w:rsidRPr="00961855">
        <w:rPr>
          <w:color w:val="1F2329"/>
        </w:rPr>
        <w:t>——</w:t>
      </w:r>
      <w:r w:rsidRPr="00961855">
        <w:rPr>
          <w:color w:val="1F2329"/>
        </w:rPr>
        <w:t>灯塔计划</w:t>
      </w:r>
      <w:r w:rsidRPr="00E95586">
        <w:rPr>
          <w:rFonts w:ascii="仿宋" w:eastAsia="仿宋" w:hAnsi="仿宋"/>
          <w:color w:val="1F2329"/>
        </w:rPr>
        <w:t>”高</w:t>
      </w:r>
      <w:r>
        <w:rPr>
          <w:color w:val="1F2329"/>
        </w:rPr>
        <w:t>校毕业生赋能发展行动提供</w:t>
      </w:r>
      <w:r>
        <w:rPr>
          <w:rStyle w:val="a8"/>
          <w:color w:val="1F2329"/>
        </w:rPr>
        <w:t>人才画像、供给地图、目标院校、政策依据、落地路径</w:t>
      </w:r>
      <w:r>
        <w:rPr>
          <w:color w:val="1F2329"/>
        </w:rPr>
        <w:t>的核心支撑，真正实现以研究指导行动、以数据驱动引才。</w:t>
      </w:r>
    </w:p>
    <w:p w:rsidR="000E3AE8" w:rsidRDefault="00497E53" w:rsidP="00230CAF">
      <w:pPr>
        <w:pStyle w:val="2"/>
        <w:ind w:firstLineChars="0" w:firstLine="640"/>
        <w:rPr>
          <w:rFonts w:ascii="楷体_GB2312" w:hAnsi="楷体_GB2312"/>
        </w:rPr>
      </w:pPr>
      <w:r>
        <w:rPr>
          <w:rFonts w:hint="eastAsia"/>
        </w:rPr>
        <w:t>（二）</w:t>
      </w:r>
      <w:r>
        <w:t>战略意义</w:t>
      </w:r>
    </w:p>
    <w:p w:rsidR="000E3AE8" w:rsidRDefault="00497E53" w:rsidP="00230CAF">
      <w:pPr>
        <w:pStyle w:val="a3"/>
        <w:ind w:firstLine="616"/>
        <w:rPr>
          <w:color w:val="1F2329"/>
        </w:rPr>
      </w:pPr>
      <w:r>
        <w:rPr>
          <w:color w:val="1F2329"/>
        </w:rPr>
        <w:t>一是</w:t>
      </w:r>
      <w:r>
        <w:rPr>
          <w:rStyle w:val="a8"/>
          <w:color w:val="1F2329"/>
        </w:rPr>
        <w:t>精准赋能重点产业发展</w:t>
      </w:r>
      <w:r>
        <w:rPr>
          <w:color w:val="1F2329"/>
        </w:rPr>
        <w:t>。全面覆盖</w:t>
      </w:r>
      <w:r>
        <w:rPr>
          <w:color w:val="1F2329"/>
        </w:rPr>
        <w:t>14</w:t>
      </w:r>
      <w:r>
        <w:rPr>
          <w:color w:val="1F2329"/>
        </w:rPr>
        <w:t>个重点产业，系统绘制人才需求画像与供给地图，为产业发展提供稳定、精准、高质量的青年人才供给，有力支撑新质生产力培育。二是</w:t>
      </w:r>
      <w:r>
        <w:rPr>
          <w:rStyle w:val="a8"/>
          <w:color w:val="1F2329"/>
        </w:rPr>
        <w:t>全面提升引才育才效能</w:t>
      </w:r>
      <w:r>
        <w:rPr>
          <w:color w:val="1F2329"/>
        </w:rPr>
        <w:t>。构建</w:t>
      </w:r>
      <w:r w:rsidRPr="000A1525">
        <w:rPr>
          <w:rFonts w:ascii="仿宋" w:eastAsia="仿宋" w:hAnsi="仿宋"/>
          <w:color w:val="1F2329"/>
        </w:rPr>
        <w:t>“</w:t>
      </w:r>
      <w:r w:rsidRPr="000A1525">
        <w:rPr>
          <w:color w:val="1F2329"/>
        </w:rPr>
        <w:t>需求画像</w:t>
      </w:r>
      <w:r w:rsidRPr="000A1525">
        <w:rPr>
          <w:color w:val="1F2329"/>
        </w:rPr>
        <w:t>—</w:t>
      </w:r>
      <w:r w:rsidRPr="000A1525">
        <w:rPr>
          <w:color w:val="1F2329"/>
        </w:rPr>
        <w:t>供给评估</w:t>
      </w:r>
      <w:r w:rsidRPr="000A1525">
        <w:rPr>
          <w:color w:val="1F2329"/>
        </w:rPr>
        <w:t>—</w:t>
      </w:r>
      <w:r w:rsidRPr="000A1525">
        <w:rPr>
          <w:color w:val="1F2329"/>
        </w:rPr>
        <w:t>精准匹配</w:t>
      </w:r>
      <w:r w:rsidRPr="000A1525">
        <w:rPr>
          <w:color w:val="1F2329"/>
        </w:rPr>
        <w:t>—</w:t>
      </w:r>
      <w:r w:rsidRPr="000A1525">
        <w:rPr>
          <w:color w:val="1F2329"/>
        </w:rPr>
        <w:t>服务落地</w:t>
      </w:r>
      <w:r w:rsidRPr="000A1525">
        <w:rPr>
          <w:rFonts w:ascii="仿宋" w:eastAsia="仿宋" w:hAnsi="仿宋"/>
          <w:color w:val="1F2329"/>
        </w:rPr>
        <w:t>”</w:t>
      </w:r>
      <w:r w:rsidRPr="000A1525">
        <w:rPr>
          <w:color w:val="1F2329"/>
        </w:rPr>
        <w:t>全链条体系，推</w:t>
      </w:r>
      <w:r>
        <w:rPr>
          <w:color w:val="1F2329"/>
        </w:rPr>
        <w:t>动引才</w:t>
      </w:r>
      <w:r w:rsidRPr="000A1525">
        <w:rPr>
          <w:color w:val="1F2329"/>
        </w:rPr>
        <w:t>从</w:t>
      </w:r>
      <w:r w:rsidRPr="000A1525">
        <w:rPr>
          <w:rFonts w:ascii="仿宋" w:eastAsia="仿宋" w:hAnsi="仿宋"/>
          <w:color w:val="1F2329"/>
        </w:rPr>
        <w:t>“</w:t>
      </w:r>
      <w:r w:rsidRPr="000A1525">
        <w:rPr>
          <w:color w:val="1F2329"/>
        </w:rPr>
        <w:t>广撒网</w:t>
      </w:r>
      <w:r w:rsidRPr="000A1525">
        <w:rPr>
          <w:rFonts w:ascii="仿宋" w:eastAsia="仿宋" w:hAnsi="仿宋"/>
          <w:color w:val="1F2329"/>
        </w:rPr>
        <w:t>”</w:t>
      </w:r>
      <w:r w:rsidRPr="000A1525">
        <w:rPr>
          <w:color w:val="1F2329"/>
        </w:rPr>
        <w:t>向</w:t>
      </w:r>
      <w:r w:rsidRPr="000A1525">
        <w:rPr>
          <w:rFonts w:ascii="仿宋" w:eastAsia="仿宋" w:hAnsi="仿宋"/>
          <w:color w:val="1F2329"/>
        </w:rPr>
        <w:t>“</w:t>
      </w:r>
      <w:r w:rsidRPr="000A1525">
        <w:rPr>
          <w:color w:val="1F2329"/>
        </w:rPr>
        <w:t>按图索骥</w:t>
      </w:r>
      <w:r w:rsidRPr="000A1525">
        <w:rPr>
          <w:rFonts w:ascii="仿宋" w:eastAsia="仿宋" w:hAnsi="仿宋"/>
          <w:color w:val="1F2329"/>
        </w:rPr>
        <w:t>”</w:t>
      </w:r>
      <w:r w:rsidRPr="000A1525">
        <w:rPr>
          <w:color w:val="1F2329"/>
        </w:rPr>
        <w:t>转变</w:t>
      </w:r>
      <w:r>
        <w:rPr>
          <w:color w:val="1F2329"/>
        </w:rPr>
        <w:t>，显著降低</w:t>
      </w:r>
      <w:r>
        <w:rPr>
          <w:color w:val="1F2329"/>
        </w:rPr>
        <w:lastRenderedPageBreak/>
        <w:t>引才成本、提升匹配效率。三是</w:t>
      </w:r>
      <w:r>
        <w:rPr>
          <w:rStyle w:val="a8"/>
          <w:color w:val="1F2329"/>
        </w:rPr>
        <w:t>推动人才服务前置化延伸</w:t>
      </w:r>
      <w:r>
        <w:rPr>
          <w:color w:val="1F2329"/>
        </w:rPr>
        <w:t>。将服务关口前移至在校大学生，实现早认知、早链接、早培养、早储备，</w:t>
      </w:r>
      <w:proofErr w:type="gramStart"/>
      <w:r>
        <w:rPr>
          <w:color w:val="1F2329"/>
        </w:rPr>
        <w:t>构建全</w:t>
      </w:r>
      <w:proofErr w:type="gramEnd"/>
      <w:r>
        <w:rPr>
          <w:color w:val="1F2329"/>
        </w:rPr>
        <w:t>周期青年人才发展生态。四是</w:t>
      </w:r>
      <w:r>
        <w:rPr>
          <w:rStyle w:val="a8"/>
          <w:color w:val="1F2329"/>
        </w:rPr>
        <w:t>构建</w:t>
      </w:r>
      <w:r w:rsidRPr="00E95586">
        <w:rPr>
          <w:rStyle w:val="a8"/>
          <w:rFonts w:ascii="仿宋" w:eastAsia="仿宋" w:hAnsi="仿宋"/>
          <w:color w:val="1F2329"/>
        </w:rPr>
        <w:t>“</w:t>
      </w:r>
      <w:r w:rsidRPr="00961855">
        <w:rPr>
          <w:b/>
        </w:rPr>
        <w:t>人才</w:t>
      </w:r>
      <w:r w:rsidRPr="00961855">
        <w:rPr>
          <w:b/>
        </w:rPr>
        <w:t>—</w:t>
      </w:r>
      <w:r w:rsidRPr="00961855">
        <w:rPr>
          <w:b/>
        </w:rPr>
        <w:t>产业</w:t>
      </w:r>
      <w:r w:rsidRPr="00961855">
        <w:rPr>
          <w:b/>
        </w:rPr>
        <w:t>—</w:t>
      </w:r>
      <w:r w:rsidRPr="00961855">
        <w:rPr>
          <w:b/>
        </w:rPr>
        <w:t>资本</w:t>
      </w:r>
      <w:r w:rsidRPr="00E95586">
        <w:rPr>
          <w:rStyle w:val="a8"/>
          <w:rFonts w:ascii="仿宋" w:eastAsia="仿宋" w:hAnsi="仿宋"/>
          <w:color w:val="1F2329"/>
        </w:rPr>
        <w:t>”共生格局</w:t>
      </w:r>
      <w:r w:rsidRPr="00E95586">
        <w:rPr>
          <w:rFonts w:ascii="仿宋" w:eastAsia="仿宋" w:hAnsi="仿宋"/>
          <w:color w:val="1F2329"/>
        </w:rPr>
        <w:t>。</w:t>
      </w:r>
      <w:r w:rsidRPr="000A1525">
        <w:rPr>
          <w:color w:val="1F2329"/>
        </w:rPr>
        <w:t>助力吸引全球顶尖高校毕业生集聚朝阳，优化青年人才结构，强化区域人才竞争力，打造首都青年人</w:t>
      </w:r>
      <w:r>
        <w:rPr>
          <w:color w:val="1F2329"/>
        </w:rPr>
        <w:t>才高地。五是</w:t>
      </w:r>
      <w:r>
        <w:rPr>
          <w:rStyle w:val="a8"/>
          <w:color w:val="1F2329"/>
        </w:rPr>
        <w:t>坚实</w:t>
      </w:r>
      <w:r w:rsidRPr="00E95586">
        <w:rPr>
          <w:rStyle w:val="a8"/>
          <w:rFonts w:ascii="仿宋" w:eastAsia="仿宋" w:hAnsi="仿宋"/>
          <w:color w:val="1F2329"/>
        </w:rPr>
        <w:t>支撑“</w:t>
      </w:r>
      <w:r w:rsidRPr="00961855">
        <w:rPr>
          <w:b/>
        </w:rPr>
        <w:t>灯塔计划</w:t>
      </w:r>
      <w:r w:rsidRPr="00E95586">
        <w:rPr>
          <w:rStyle w:val="a8"/>
          <w:rFonts w:ascii="仿宋" w:eastAsia="仿宋" w:hAnsi="仿宋"/>
          <w:color w:val="1F2329"/>
        </w:rPr>
        <w:t>”落</w:t>
      </w:r>
      <w:r>
        <w:rPr>
          <w:rStyle w:val="a8"/>
          <w:color w:val="1F2329"/>
        </w:rPr>
        <w:t>地</w:t>
      </w:r>
      <w:r>
        <w:rPr>
          <w:color w:val="1F2329"/>
        </w:rPr>
        <w:t>。为百校联盟、青苗赋能、成长积分、精准服务、国际人才集聚等重点举措提供底层数据与行动指南，推动政策落地见效。</w:t>
      </w:r>
    </w:p>
    <w:p w:rsidR="000E3AE8" w:rsidRDefault="00497E53" w:rsidP="00230CAF">
      <w:pPr>
        <w:pStyle w:val="1"/>
        <w:ind w:firstLineChars="0" w:firstLine="640"/>
      </w:pPr>
      <w:r>
        <w:rPr>
          <w:rFonts w:hint="eastAsia"/>
        </w:rPr>
        <w:t>二、</w:t>
      </w:r>
      <w:r>
        <w:t>编制方法</w:t>
      </w:r>
      <w:r>
        <w:rPr>
          <w:rFonts w:hint="eastAsia"/>
        </w:rPr>
        <w:t>与研究</w:t>
      </w:r>
      <w:r>
        <w:t>范围</w:t>
      </w:r>
    </w:p>
    <w:p w:rsidR="000E3AE8" w:rsidRDefault="00497E53" w:rsidP="00230CAF">
      <w:pPr>
        <w:pStyle w:val="a3"/>
        <w:ind w:firstLine="616"/>
      </w:pPr>
      <w:r>
        <w:t>本报告覆盖朝阳区</w:t>
      </w:r>
      <w:r>
        <w:t>14</w:t>
      </w:r>
      <w:r>
        <w:t>个重点产业，具体包括：新一代信息技术、人工智能、集成电路、医药健康、智能制造与装备、绿色能源与节能环保、智能网联汽车、新材料、科技服务、商务服务、金融服务、文化和旅游、教育、医疗和养老。</w:t>
      </w:r>
    </w:p>
    <w:p w:rsidR="000E3AE8" w:rsidRDefault="00497E53" w:rsidP="00230CAF">
      <w:pPr>
        <w:pStyle w:val="a3"/>
        <w:ind w:firstLine="616"/>
      </w:pPr>
      <w:r>
        <w:t>研究对象涵盖两类院校。一是国家</w:t>
      </w:r>
      <w:r w:rsidRPr="00961855">
        <w:rPr>
          <w:rFonts w:ascii="仿宋" w:eastAsia="仿宋" w:hAnsi="仿宋"/>
        </w:rPr>
        <w:t>“</w:t>
      </w:r>
      <w:r>
        <w:t>双一流</w:t>
      </w:r>
      <w:r w:rsidRPr="00961855">
        <w:rPr>
          <w:rFonts w:ascii="仿宋" w:eastAsia="仿宋" w:hAnsi="仿宋"/>
        </w:rPr>
        <w:t>”</w:t>
      </w:r>
      <w:r>
        <w:t>建设高校名单的高等院校，实现国内顶尖人才培养单位全覆盖，确保研究基础的高层次与权威性。二是</w:t>
      </w:r>
      <w:r>
        <w:t>2026</w:t>
      </w:r>
      <w:r>
        <w:t>年</w:t>
      </w:r>
      <w:r>
        <w:t>QS</w:t>
      </w:r>
      <w:r>
        <w:t>世界大学排名全球前</w:t>
      </w:r>
      <w:r>
        <w:t>200</w:t>
      </w:r>
      <w:r>
        <w:t>位的境外高等教育机构，强化国际人才资源评估的全球视野与竞争力基准，为引进国际化高素质人才提供科学依据。</w:t>
      </w:r>
    </w:p>
    <w:p w:rsidR="000E3AE8" w:rsidRDefault="00497E53" w:rsidP="00230CAF">
      <w:pPr>
        <w:pStyle w:val="a3"/>
        <w:ind w:firstLine="616"/>
      </w:pPr>
      <w:r>
        <w:t>本报告综合运用文献研究、问卷调查与数据分析三种方法，构建</w:t>
      </w:r>
      <w:r w:rsidRPr="00961855">
        <w:rPr>
          <w:rFonts w:ascii="仿宋" w:eastAsia="仿宋" w:hAnsi="仿宋"/>
        </w:rPr>
        <w:t>“</w:t>
      </w:r>
      <w:r>
        <w:t>综合适配指数</w:t>
      </w:r>
      <w:r w:rsidRPr="00961855">
        <w:rPr>
          <w:rFonts w:ascii="仿宋" w:eastAsia="仿宋" w:hAnsi="仿宋"/>
        </w:rPr>
        <w:t>”</w:t>
      </w:r>
      <w:r>
        <w:t>量化评估模型。国内高校评估模型包含六项指标，分别为学科评分、研究生供给规模、本科生供给规模、岗位就业意愿、行业就业意愿、在京就业意愿，权重依次设定为</w:t>
      </w:r>
      <w:r>
        <w:t>35</w:t>
      </w:r>
      <w:r>
        <w:t>％、</w:t>
      </w:r>
      <w:r>
        <w:lastRenderedPageBreak/>
        <w:t>15</w:t>
      </w:r>
      <w:r>
        <w:t>％、</w:t>
      </w:r>
      <w:r>
        <w:t>5</w:t>
      </w:r>
      <w:r>
        <w:t>％、</w:t>
      </w:r>
      <w:r>
        <w:t>15</w:t>
      </w:r>
      <w:r>
        <w:t>％、</w:t>
      </w:r>
      <w:r>
        <w:t>10</w:t>
      </w:r>
      <w:r>
        <w:t>％、</w:t>
      </w:r>
      <w:r>
        <w:t>20</w:t>
      </w:r>
      <w:r>
        <w:t>％。境外高校评估模型包含五项指标，分别为</w:t>
      </w:r>
      <w:r>
        <w:t>QS</w:t>
      </w:r>
      <w:r>
        <w:t>排名评分、留学生供给规模、岗位就业意愿、行业就业意愿、在京就业意愿，权重依次设定为</w:t>
      </w:r>
      <w:r>
        <w:t>35</w:t>
      </w:r>
      <w:r>
        <w:t>％、</w:t>
      </w:r>
      <w:r>
        <w:t>20</w:t>
      </w:r>
      <w:r>
        <w:t>％、</w:t>
      </w:r>
      <w:r>
        <w:t>15</w:t>
      </w:r>
      <w:r>
        <w:t>％、</w:t>
      </w:r>
      <w:r>
        <w:t>10</w:t>
      </w:r>
      <w:r>
        <w:t>％、</w:t>
      </w:r>
      <w:r>
        <w:t>20</w:t>
      </w:r>
      <w:r>
        <w:t>％。各项权重由专家组结合朝阳区重点产业人才需求特点研究确定。依据综合适配指数得分，生成各重点产业适配院校推荐名录，并按得分高低划分推荐梯队。</w:t>
      </w:r>
    </w:p>
    <w:p w:rsidR="003E5695" w:rsidRDefault="003E5695" w:rsidP="00230CAF">
      <w:pPr>
        <w:pStyle w:val="a3"/>
        <w:ind w:firstLine="616"/>
        <w:rPr>
          <w:rFonts w:hint="eastAsia"/>
        </w:rPr>
      </w:pPr>
      <w:r w:rsidRPr="003E5695">
        <w:rPr>
          <w:rFonts w:hint="eastAsia"/>
        </w:rPr>
        <w:t>本报告数据来源于五类渠道。一是产业需求数据，基于前程无忧平台发布的朝阳区重点产业</w:t>
      </w:r>
      <w:proofErr w:type="gramStart"/>
      <w:r w:rsidRPr="003E5695">
        <w:rPr>
          <w:rFonts w:hint="eastAsia"/>
        </w:rPr>
        <w:t>校招岗位</w:t>
      </w:r>
      <w:proofErr w:type="gramEnd"/>
      <w:r w:rsidRPr="003E5695">
        <w:rPr>
          <w:rFonts w:hint="eastAsia"/>
        </w:rPr>
        <w:t>信息，梳理岗位需求、专业要求和薪酬水平。二是学科评估数据，以教育部第四轮学科评估结果为基础，参照第五轮学科评估信息进行动态校准。三是人才供给数据，国内高校生源数据来源于高校公开信息，境外留学生供给规模来源于前程无忧平台简历数据。四是就业意愿数据，岗位就业意愿、行业就业意愿、在京就业意愿三项指标均基于前程无忧平台学生实际投递记录进行分析。五是专项调研数据，面向国内双一流高校和境外</w:t>
      </w:r>
      <w:r w:rsidRPr="003E5695">
        <w:rPr>
          <w:rFonts w:hint="eastAsia"/>
        </w:rPr>
        <w:t>QS</w:t>
      </w:r>
      <w:r w:rsidRPr="003E5695">
        <w:rPr>
          <w:rFonts w:hint="eastAsia"/>
        </w:rPr>
        <w:t>前</w:t>
      </w:r>
      <w:r w:rsidRPr="003E5695">
        <w:rPr>
          <w:rFonts w:hint="eastAsia"/>
        </w:rPr>
        <w:t>200</w:t>
      </w:r>
      <w:r w:rsidRPr="003E5695">
        <w:rPr>
          <w:rFonts w:hint="eastAsia"/>
        </w:rPr>
        <w:t>院校目标专业学生开展问卷调查，共回收有效问卷</w:t>
      </w:r>
      <w:r w:rsidRPr="003E5695">
        <w:rPr>
          <w:rFonts w:hint="eastAsia"/>
        </w:rPr>
        <w:t>45925</w:t>
      </w:r>
      <w:r w:rsidRPr="003E5695">
        <w:rPr>
          <w:rFonts w:hint="eastAsia"/>
        </w:rPr>
        <w:t>份，用于验证模型有效性并为政策优化提供参考。</w:t>
      </w:r>
    </w:p>
    <w:p w:rsidR="000E3AE8" w:rsidRDefault="00497E53" w:rsidP="00230CAF">
      <w:pPr>
        <w:pStyle w:val="1"/>
        <w:ind w:firstLineChars="0" w:firstLine="640"/>
      </w:pPr>
      <w:r>
        <w:rPr>
          <w:rFonts w:hint="eastAsia"/>
        </w:rPr>
        <w:t>三、</w:t>
      </w:r>
      <w:r w:rsidR="00EF5B26" w:rsidRPr="00EF5B26">
        <w:rPr>
          <w:rFonts w:hint="eastAsia"/>
        </w:rPr>
        <w:t>重点产业人才需求画像</w:t>
      </w:r>
    </w:p>
    <w:p w:rsidR="00C772B6" w:rsidRPr="00C772B6" w:rsidRDefault="00C772B6" w:rsidP="00C772B6">
      <w:pPr>
        <w:pStyle w:val="2"/>
        <w:ind w:firstLineChars="0" w:firstLine="640"/>
        <w:rPr>
          <w:rFonts w:hint="eastAsia"/>
        </w:rPr>
      </w:pPr>
      <w:r>
        <w:rPr>
          <w:rFonts w:hint="eastAsia"/>
        </w:rPr>
        <w:t>（一）</w:t>
      </w:r>
      <w:r w:rsidRPr="00C772B6">
        <w:rPr>
          <w:rFonts w:hint="eastAsia"/>
        </w:rPr>
        <w:t>新一代信息技术产业</w:t>
      </w:r>
    </w:p>
    <w:p w:rsidR="00C772B6" w:rsidRPr="00C772B6" w:rsidRDefault="00C772B6" w:rsidP="00C772B6">
      <w:pPr>
        <w:pStyle w:val="a3"/>
        <w:ind w:firstLine="616"/>
        <w:rPr>
          <w:rFonts w:hint="eastAsia"/>
        </w:rPr>
      </w:pPr>
      <w:r w:rsidRPr="00C772B6">
        <w:rPr>
          <w:rFonts w:hint="eastAsia"/>
        </w:rPr>
        <w:t>该产业是朝阳区构建高精尖经济结构、培育新质生产力的核心引擎之一，区内已形成以美团、小米、快手等为代表的平台型企业集群。岗位需求集中于软件开发与云计算、人工智能与算法、通信与网络安全、硬件与嵌入式开发四个方向，应届生月薪起薪</w:t>
      </w:r>
      <w:r w:rsidRPr="00C772B6">
        <w:rPr>
          <w:rFonts w:hint="eastAsia"/>
        </w:rPr>
        <w:t>8000-</w:t>
      </w:r>
      <w:r w:rsidRPr="00C772B6">
        <w:rPr>
          <w:rFonts w:hint="eastAsia"/>
        </w:rPr>
        <w:lastRenderedPageBreak/>
        <w:t>25000</w:t>
      </w:r>
      <w:r w:rsidRPr="00C772B6">
        <w:rPr>
          <w:rFonts w:hint="eastAsia"/>
        </w:rPr>
        <w:t>元。本科层次专业需求以计算机类和电子</w:t>
      </w:r>
      <w:bookmarkStart w:id="0" w:name="_GoBack"/>
      <w:bookmarkEnd w:id="0"/>
      <w:r w:rsidRPr="00C772B6">
        <w:rPr>
          <w:rFonts w:hint="eastAsia"/>
        </w:rPr>
        <w:t>信息类为主，合计占比</w:t>
      </w:r>
      <w:r w:rsidRPr="00C772B6">
        <w:rPr>
          <w:rFonts w:hint="eastAsia"/>
        </w:rPr>
        <w:t>67.7%</w:t>
      </w:r>
      <w:r w:rsidRPr="00C772B6">
        <w:rPr>
          <w:rFonts w:hint="eastAsia"/>
        </w:rPr>
        <w:t>；研究生层次以信息与通信工程、计算机科学与技术、电子科学与技术为主，合计占比</w:t>
      </w:r>
      <w:r w:rsidRPr="00C772B6">
        <w:rPr>
          <w:rFonts w:hint="eastAsia"/>
        </w:rPr>
        <w:t>57.5%</w:t>
      </w:r>
      <w:r w:rsidRPr="00C772B6">
        <w:rPr>
          <w:rFonts w:hint="eastAsia"/>
        </w:rPr>
        <w:t>。</w:t>
      </w:r>
    </w:p>
    <w:p w:rsidR="00C772B6" w:rsidRPr="00C772B6" w:rsidRDefault="00C772B6" w:rsidP="00C772B6">
      <w:pPr>
        <w:pStyle w:val="2"/>
        <w:ind w:firstLineChars="0" w:firstLine="640"/>
        <w:rPr>
          <w:rFonts w:hint="eastAsia"/>
        </w:rPr>
      </w:pPr>
      <w:r>
        <w:rPr>
          <w:rFonts w:hint="eastAsia"/>
        </w:rPr>
        <w:t>（二）</w:t>
      </w:r>
      <w:r w:rsidRPr="00C772B6">
        <w:rPr>
          <w:rFonts w:hint="eastAsia"/>
        </w:rPr>
        <w:t>人工智能产业</w:t>
      </w:r>
    </w:p>
    <w:p w:rsidR="00C772B6" w:rsidRPr="00C772B6" w:rsidRDefault="00C772B6" w:rsidP="00C772B6">
      <w:pPr>
        <w:pStyle w:val="a3"/>
        <w:ind w:firstLine="616"/>
        <w:rPr>
          <w:rFonts w:hint="eastAsia"/>
        </w:rPr>
      </w:pPr>
      <w:r w:rsidRPr="00C772B6">
        <w:rPr>
          <w:rFonts w:hint="eastAsia"/>
        </w:rPr>
        <w:t>朝阳区已</w:t>
      </w:r>
      <w:proofErr w:type="gramStart"/>
      <w:r w:rsidRPr="00C772B6">
        <w:rPr>
          <w:rFonts w:hint="eastAsia"/>
        </w:rPr>
        <w:t>吸引智谱</w:t>
      </w:r>
      <w:proofErr w:type="gramEnd"/>
      <w:r w:rsidRPr="00C772B6">
        <w:rPr>
          <w:rFonts w:hint="eastAsia"/>
        </w:rPr>
        <w:t>AI</w:t>
      </w:r>
      <w:r w:rsidRPr="00C772B6">
        <w:rPr>
          <w:rFonts w:hint="eastAsia"/>
        </w:rPr>
        <w:t>、百川智能、月之暗面等领军企业设立核心研发机构，</w:t>
      </w:r>
      <w:proofErr w:type="gramStart"/>
      <w:r w:rsidRPr="00C772B6">
        <w:rPr>
          <w:rFonts w:hint="eastAsia"/>
        </w:rPr>
        <w:t>在具身智能</w:t>
      </w:r>
      <w:proofErr w:type="gramEnd"/>
      <w:r w:rsidRPr="00C772B6">
        <w:rPr>
          <w:rFonts w:hint="eastAsia"/>
        </w:rPr>
        <w:t>、多模态认知等前沿方向形成特色布局。岗位需求集中于算法研发、大模型工程、</w:t>
      </w:r>
      <w:r w:rsidRPr="00C772B6">
        <w:rPr>
          <w:rFonts w:hint="eastAsia"/>
        </w:rPr>
        <w:t>AI</w:t>
      </w:r>
      <w:r w:rsidRPr="00C772B6">
        <w:rPr>
          <w:rFonts w:hint="eastAsia"/>
        </w:rPr>
        <w:t>开发与应用、产业智能化四个方向，应届生月薪起薪</w:t>
      </w:r>
      <w:r w:rsidRPr="00C772B6">
        <w:rPr>
          <w:rFonts w:hint="eastAsia"/>
        </w:rPr>
        <w:t>12000-30000</w:t>
      </w:r>
      <w:r w:rsidRPr="00C772B6">
        <w:rPr>
          <w:rFonts w:hint="eastAsia"/>
        </w:rPr>
        <w:t>元。本科层次专业需求以计算机类、电子信息类、数学类为主，合计占比</w:t>
      </w:r>
      <w:r w:rsidRPr="00C772B6">
        <w:rPr>
          <w:rFonts w:hint="eastAsia"/>
        </w:rPr>
        <w:t>64.0%</w:t>
      </w:r>
      <w:r w:rsidRPr="00C772B6">
        <w:rPr>
          <w:rFonts w:hint="eastAsia"/>
        </w:rPr>
        <w:t>；研究生层次以计算机科学与技术、智能科学与技术、软件工程为主，合计占比</w:t>
      </w:r>
      <w:r w:rsidRPr="00C772B6">
        <w:rPr>
          <w:rFonts w:hint="eastAsia"/>
        </w:rPr>
        <w:t>56.0%</w:t>
      </w:r>
      <w:r w:rsidRPr="00C772B6">
        <w:rPr>
          <w:rFonts w:hint="eastAsia"/>
        </w:rPr>
        <w:t>。</w:t>
      </w:r>
    </w:p>
    <w:p w:rsidR="00C772B6" w:rsidRPr="00C772B6" w:rsidRDefault="00C772B6" w:rsidP="00C772B6">
      <w:pPr>
        <w:pStyle w:val="2"/>
        <w:ind w:firstLineChars="0" w:firstLine="640"/>
        <w:rPr>
          <w:rFonts w:hint="eastAsia"/>
        </w:rPr>
      </w:pPr>
      <w:r>
        <w:rPr>
          <w:rFonts w:hint="eastAsia"/>
        </w:rPr>
        <w:t>（三）</w:t>
      </w:r>
      <w:r w:rsidRPr="00C772B6">
        <w:rPr>
          <w:rFonts w:hint="eastAsia"/>
        </w:rPr>
        <w:t>集成电路产业</w:t>
      </w:r>
    </w:p>
    <w:p w:rsidR="00C772B6" w:rsidRPr="00C772B6" w:rsidRDefault="00C772B6" w:rsidP="00C772B6">
      <w:pPr>
        <w:pStyle w:val="a3"/>
        <w:ind w:firstLine="616"/>
        <w:rPr>
          <w:rFonts w:hint="eastAsia"/>
        </w:rPr>
      </w:pPr>
      <w:r w:rsidRPr="00C772B6">
        <w:rPr>
          <w:rFonts w:hint="eastAsia"/>
        </w:rPr>
        <w:t>朝阳区聚焦高端芯片设计、</w:t>
      </w:r>
      <w:r w:rsidRPr="00C772B6">
        <w:rPr>
          <w:rFonts w:hint="eastAsia"/>
        </w:rPr>
        <w:t>EDA</w:t>
      </w:r>
      <w:r w:rsidRPr="00C772B6">
        <w:rPr>
          <w:rFonts w:hint="eastAsia"/>
        </w:rPr>
        <w:t>工具创新及装备材料研发，已形成</w:t>
      </w:r>
      <w:proofErr w:type="gramStart"/>
      <w:r w:rsidRPr="00C772B6">
        <w:rPr>
          <w:rFonts w:hint="eastAsia"/>
        </w:rPr>
        <w:t>以集创北方</w:t>
      </w:r>
      <w:proofErr w:type="gramEnd"/>
      <w:r w:rsidRPr="00C772B6">
        <w:rPr>
          <w:rFonts w:hint="eastAsia"/>
        </w:rPr>
        <w:t>为龙头、</w:t>
      </w:r>
      <w:proofErr w:type="gramStart"/>
      <w:r w:rsidRPr="00C772B6">
        <w:rPr>
          <w:rFonts w:hint="eastAsia"/>
        </w:rPr>
        <w:t>算能科技</w:t>
      </w:r>
      <w:proofErr w:type="gramEnd"/>
      <w:r w:rsidRPr="00C772B6">
        <w:rPr>
          <w:rFonts w:hint="eastAsia"/>
        </w:rPr>
        <w:t>和智芯微等为支撑的企业集群。岗位需求集中于芯片设计、</w:t>
      </w:r>
      <w:r w:rsidRPr="00C772B6">
        <w:rPr>
          <w:rFonts w:hint="eastAsia"/>
        </w:rPr>
        <w:t>EDA</w:t>
      </w:r>
      <w:r w:rsidRPr="00C772B6">
        <w:rPr>
          <w:rFonts w:hint="eastAsia"/>
        </w:rPr>
        <w:t>与芯片软件开发、芯片封装与测试、芯片制造与工艺四个方向，应届生月薪起薪</w:t>
      </w:r>
      <w:r w:rsidRPr="00C772B6">
        <w:rPr>
          <w:rFonts w:hint="eastAsia"/>
        </w:rPr>
        <w:t>10000-25000</w:t>
      </w:r>
      <w:r w:rsidRPr="00C772B6">
        <w:rPr>
          <w:rFonts w:hint="eastAsia"/>
        </w:rPr>
        <w:t>元。本科层次专业需求以电子信息类、计算机类、机械类为主；研究生层次以电子科学与技术、集成电路科学与工程、电子信息为主。</w:t>
      </w:r>
    </w:p>
    <w:p w:rsidR="00C772B6" w:rsidRPr="000966FD" w:rsidRDefault="00C772B6" w:rsidP="000966FD">
      <w:pPr>
        <w:pStyle w:val="2"/>
        <w:ind w:firstLineChars="0" w:firstLine="640"/>
        <w:rPr>
          <w:rFonts w:hint="eastAsia"/>
        </w:rPr>
      </w:pPr>
      <w:r>
        <w:rPr>
          <w:rFonts w:hint="eastAsia"/>
        </w:rPr>
        <w:t>（四）</w:t>
      </w:r>
      <w:r w:rsidRPr="000966FD">
        <w:rPr>
          <w:rFonts w:hint="eastAsia"/>
        </w:rPr>
        <w:t>医药健康产业</w:t>
      </w:r>
    </w:p>
    <w:p w:rsidR="00C772B6" w:rsidRPr="00C772B6" w:rsidRDefault="00C772B6" w:rsidP="00C772B6">
      <w:pPr>
        <w:pStyle w:val="a3"/>
        <w:ind w:firstLine="616"/>
        <w:rPr>
          <w:rFonts w:hint="eastAsia"/>
        </w:rPr>
      </w:pPr>
      <w:r w:rsidRPr="00C772B6">
        <w:rPr>
          <w:rFonts w:hint="eastAsia"/>
        </w:rPr>
        <w:t>朝阳区聚焦生物医药创新、数字医疗融合、高端医疗器械等方向，集聚了华润医药、国药集团、</w:t>
      </w:r>
      <w:proofErr w:type="gramStart"/>
      <w:r w:rsidRPr="00C772B6">
        <w:rPr>
          <w:rFonts w:hint="eastAsia"/>
        </w:rPr>
        <w:t>医渡科技</w:t>
      </w:r>
      <w:proofErr w:type="gramEnd"/>
      <w:r w:rsidRPr="00C772B6">
        <w:rPr>
          <w:rFonts w:hint="eastAsia"/>
        </w:rPr>
        <w:t>等龙头企业。岗位需求集中于生物制品研发、细胞与基因治疗、数字医疗、高端医疗器械、</w:t>
      </w:r>
      <w:r w:rsidRPr="00C772B6">
        <w:rPr>
          <w:rFonts w:hint="eastAsia"/>
        </w:rPr>
        <w:lastRenderedPageBreak/>
        <w:t>脑科学与</w:t>
      </w:r>
      <w:proofErr w:type="gramStart"/>
      <w:r w:rsidRPr="00C772B6">
        <w:rPr>
          <w:rFonts w:hint="eastAsia"/>
        </w:rPr>
        <w:t>脑机接口</w:t>
      </w:r>
      <w:proofErr w:type="gramEnd"/>
      <w:r w:rsidRPr="00C772B6">
        <w:rPr>
          <w:rFonts w:hint="eastAsia"/>
        </w:rPr>
        <w:t>五个方向，应届生月薪起薪</w:t>
      </w:r>
      <w:r w:rsidRPr="00C772B6">
        <w:rPr>
          <w:rFonts w:hint="eastAsia"/>
        </w:rPr>
        <w:t>7000-20000</w:t>
      </w:r>
      <w:r w:rsidRPr="00C772B6">
        <w:rPr>
          <w:rFonts w:hint="eastAsia"/>
        </w:rPr>
        <w:t>元。本科层次专业需求以基础医学类、生物科学类、生物医学工程类为主；研究生层次以基础医学、生物工程、生物医学工程为主。</w:t>
      </w:r>
    </w:p>
    <w:p w:rsidR="00C772B6" w:rsidRPr="000966FD" w:rsidRDefault="00C772B6" w:rsidP="000966FD">
      <w:pPr>
        <w:pStyle w:val="2"/>
        <w:ind w:firstLineChars="0" w:firstLine="640"/>
        <w:rPr>
          <w:rFonts w:hint="eastAsia"/>
        </w:rPr>
      </w:pPr>
      <w:r>
        <w:rPr>
          <w:rFonts w:hint="eastAsia"/>
        </w:rPr>
        <w:t>（五）</w:t>
      </w:r>
      <w:r w:rsidRPr="000966FD">
        <w:rPr>
          <w:rFonts w:hint="eastAsia"/>
        </w:rPr>
        <w:t>智能制造与装备产业</w:t>
      </w:r>
    </w:p>
    <w:p w:rsidR="00C772B6" w:rsidRPr="00C772B6" w:rsidRDefault="00C772B6" w:rsidP="00C772B6">
      <w:pPr>
        <w:pStyle w:val="a3"/>
        <w:ind w:firstLine="616"/>
        <w:rPr>
          <w:rFonts w:hint="eastAsia"/>
        </w:rPr>
      </w:pPr>
      <w:r w:rsidRPr="00C772B6">
        <w:rPr>
          <w:rFonts w:hint="eastAsia"/>
        </w:rPr>
        <w:t>朝阳区聚焦智能机器人、商业航天、</w:t>
      </w:r>
      <w:proofErr w:type="gramStart"/>
      <w:r w:rsidRPr="00C772B6">
        <w:rPr>
          <w:rFonts w:hint="eastAsia"/>
        </w:rPr>
        <w:t>低空经济</w:t>
      </w:r>
      <w:proofErr w:type="gramEnd"/>
      <w:r w:rsidRPr="00C772B6">
        <w:rPr>
          <w:rFonts w:hint="eastAsia"/>
        </w:rPr>
        <w:t>等方向，集聚了星河动力、天兵科技、京东方等企业。岗位需求集中于智能机器人、商用航天器、低空飞行器、科学仪器、智慧轨道交通五个方向，应届生月薪起薪</w:t>
      </w:r>
      <w:r w:rsidRPr="00C772B6">
        <w:rPr>
          <w:rFonts w:hint="eastAsia"/>
        </w:rPr>
        <w:t>8000-20000</w:t>
      </w:r>
      <w:r w:rsidRPr="00C772B6">
        <w:rPr>
          <w:rFonts w:hint="eastAsia"/>
        </w:rPr>
        <w:t>元。本科层次专业需求以计算机类、机械类、自动化类、电子信息类为主，合计占比</w:t>
      </w:r>
      <w:r w:rsidRPr="00C772B6">
        <w:rPr>
          <w:rFonts w:hint="eastAsia"/>
        </w:rPr>
        <w:t>59.0%</w:t>
      </w:r>
      <w:r w:rsidRPr="00C772B6">
        <w:rPr>
          <w:rFonts w:hint="eastAsia"/>
        </w:rPr>
        <w:t>；研究生层次以机械工程、物理学、数学等为主。</w:t>
      </w:r>
    </w:p>
    <w:p w:rsidR="00C772B6" w:rsidRPr="000966FD" w:rsidRDefault="00C772B6" w:rsidP="000966FD">
      <w:pPr>
        <w:pStyle w:val="2"/>
        <w:ind w:firstLineChars="0" w:firstLine="640"/>
        <w:rPr>
          <w:rFonts w:hint="eastAsia"/>
        </w:rPr>
      </w:pPr>
      <w:r>
        <w:rPr>
          <w:rFonts w:hint="eastAsia"/>
        </w:rPr>
        <w:t>（六）</w:t>
      </w:r>
      <w:r w:rsidRPr="000966FD">
        <w:rPr>
          <w:rFonts w:hint="eastAsia"/>
        </w:rPr>
        <w:t>绿色能源与节能环保产业</w:t>
      </w:r>
    </w:p>
    <w:p w:rsidR="00C772B6" w:rsidRPr="00C772B6" w:rsidRDefault="00C772B6" w:rsidP="00C772B6">
      <w:pPr>
        <w:pStyle w:val="a3"/>
        <w:ind w:firstLine="616"/>
        <w:rPr>
          <w:rFonts w:hint="eastAsia"/>
        </w:rPr>
      </w:pPr>
      <w:r w:rsidRPr="00C772B6">
        <w:rPr>
          <w:rFonts w:hint="eastAsia"/>
        </w:rPr>
        <w:t>朝阳区聚焦低碳技术应用、氢能场景示范、新型储能系统集成与</w:t>
      </w:r>
      <w:r w:rsidRPr="00C772B6">
        <w:rPr>
          <w:rFonts w:hint="eastAsia"/>
        </w:rPr>
        <w:t>ESG</w:t>
      </w:r>
      <w:r w:rsidRPr="00C772B6">
        <w:rPr>
          <w:rFonts w:hint="eastAsia"/>
        </w:rPr>
        <w:t>体系建设。岗位需求集中于低碳技术、氢能技术、新型储能、</w:t>
      </w:r>
      <w:r w:rsidRPr="00C772B6">
        <w:rPr>
          <w:rFonts w:hint="eastAsia"/>
        </w:rPr>
        <w:t>ESG</w:t>
      </w:r>
      <w:r w:rsidRPr="00C772B6">
        <w:rPr>
          <w:rFonts w:hint="eastAsia"/>
        </w:rPr>
        <w:t>四个方向，应届生月薪起薪</w:t>
      </w:r>
      <w:r w:rsidRPr="00C772B6">
        <w:rPr>
          <w:rFonts w:hint="eastAsia"/>
        </w:rPr>
        <w:t>7000-16000</w:t>
      </w:r>
      <w:r w:rsidRPr="00C772B6">
        <w:rPr>
          <w:rFonts w:hint="eastAsia"/>
        </w:rPr>
        <w:t>元。本科层次专业需求以环境科学与工程类、经济学类、</w:t>
      </w:r>
      <w:proofErr w:type="gramStart"/>
      <w:r w:rsidRPr="00C772B6">
        <w:rPr>
          <w:rFonts w:hint="eastAsia"/>
        </w:rPr>
        <w:t>金融学类为主</w:t>
      </w:r>
      <w:proofErr w:type="gramEnd"/>
      <w:r w:rsidRPr="00C772B6">
        <w:rPr>
          <w:rFonts w:hint="eastAsia"/>
        </w:rPr>
        <w:t>；研究生层次以环境科学与工程、电气工程、能源动力为主。</w:t>
      </w:r>
    </w:p>
    <w:p w:rsidR="00C772B6" w:rsidRPr="000966FD" w:rsidRDefault="00C772B6" w:rsidP="000966FD">
      <w:pPr>
        <w:pStyle w:val="2"/>
        <w:ind w:firstLineChars="0" w:firstLine="640"/>
      </w:pPr>
      <w:r>
        <w:rPr>
          <w:rFonts w:hint="eastAsia"/>
        </w:rPr>
        <w:t>（七）</w:t>
      </w:r>
      <w:r w:rsidRPr="000966FD">
        <w:rPr>
          <w:rFonts w:hint="eastAsia"/>
        </w:rPr>
        <w:t>智能网联汽车产业</w:t>
      </w:r>
    </w:p>
    <w:p w:rsidR="00C772B6" w:rsidRPr="00C772B6" w:rsidRDefault="00C772B6" w:rsidP="00C772B6">
      <w:pPr>
        <w:pStyle w:val="a3"/>
        <w:ind w:firstLine="616"/>
        <w:rPr>
          <w:rFonts w:hint="eastAsia"/>
        </w:rPr>
      </w:pPr>
      <w:r w:rsidRPr="00C772B6">
        <w:rPr>
          <w:rFonts w:hint="eastAsia"/>
        </w:rPr>
        <w:t>朝阳区在智能驾驶系统集成与测试验证领域已形成明显发展优势。岗位需求集中于智能驾驶、动力总成与三电、车联网与智能网联、电池技术四个方向，应届生月薪起薪</w:t>
      </w:r>
      <w:r w:rsidRPr="00C772B6">
        <w:rPr>
          <w:rFonts w:hint="eastAsia"/>
        </w:rPr>
        <w:t>9000-22000</w:t>
      </w:r>
      <w:r w:rsidRPr="00C772B6">
        <w:rPr>
          <w:rFonts w:hint="eastAsia"/>
        </w:rPr>
        <w:t>元。本科层次专业需求以自动化类、机械类、电子信息类为主；研究生层次以控制科学与工程、智能科学与技术、计算机科学与技术为主。</w:t>
      </w:r>
    </w:p>
    <w:p w:rsidR="00C772B6" w:rsidRPr="000966FD" w:rsidRDefault="00C772B6" w:rsidP="000966FD">
      <w:pPr>
        <w:pStyle w:val="2"/>
        <w:ind w:firstLineChars="0" w:firstLine="640"/>
        <w:rPr>
          <w:rFonts w:hint="eastAsia"/>
        </w:rPr>
      </w:pPr>
      <w:r>
        <w:rPr>
          <w:rFonts w:hint="eastAsia"/>
        </w:rPr>
        <w:lastRenderedPageBreak/>
        <w:t>（八）</w:t>
      </w:r>
      <w:r w:rsidRPr="000966FD">
        <w:rPr>
          <w:rFonts w:hint="eastAsia"/>
        </w:rPr>
        <w:t>新材料产业</w:t>
      </w:r>
    </w:p>
    <w:p w:rsidR="00C772B6" w:rsidRPr="00C772B6" w:rsidRDefault="00C772B6" w:rsidP="00C772B6">
      <w:pPr>
        <w:pStyle w:val="a3"/>
        <w:ind w:firstLine="616"/>
        <w:rPr>
          <w:rFonts w:hint="eastAsia"/>
        </w:rPr>
      </w:pPr>
      <w:r w:rsidRPr="00C772B6">
        <w:rPr>
          <w:rFonts w:hint="eastAsia"/>
        </w:rPr>
        <w:t>朝阳区聚焦纳米材料、生物医用材料、先进功能材料等前沿方向。岗位需求集中于前沿材料研发、材料应用工程、材料测试与表征三个方向，应届生月薪起薪</w:t>
      </w:r>
      <w:r w:rsidRPr="00C772B6">
        <w:rPr>
          <w:rFonts w:hint="eastAsia"/>
        </w:rPr>
        <w:t>7000-16000</w:t>
      </w:r>
      <w:r w:rsidRPr="00C772B6">
        <w:rPr>
          <w:rFonts w:hint="eastAsia"/>
        </w:rPr>
        <w:t>元。本科和研究生层次专业需求均以材料类、化工与制药类、化学类为主。</w:t>
      </w:r>
    </w:p>
    <w:p w:rsidR="00C772B6" w:rsidRPr="000966FD" w:rsidRDefault="00C772B6" w:rsidP="000966FD">
      <w:pPr>
        <w:pStyle w:val="2"/>
        <w:ind w:firstLineChars="0" w:firstLine="640"/>
        <w:rPr>
          <w:rFonts w:hint="eastAsia"/>
        </w:rPr>
      </w:pPr>
      <w:r>
        <w:rPr>
          <w:rFonts w:hint="eastAsia"/>
        </w:rPr>
        <w:t>（九）</w:t>
      </w:r>
      <w:r w:rsidRPr="000966FD">
        <w:rPr>
          <w:rFonts w:hint="eastAsia"/>
        </w:rPr>
        <w:t>科技服务产业</w:t>
      </w:r>
    </w:p>
    <w:p w:rsidR="00C772B6" w:rsidRPr="00C772B6" w:rsidRDefault="00C772B6" w:rsidP="00C772B6">
      <w:pPr>
        <w:pStyle w:val="a3"/>
        <w:ind w:firstLine="616"/>
        <w:rPr>
          <w:rFonts w:hint="eastAsia"/>
        </w:rPr>
      </w:pPr>
      <w:r w:rsidRPr="00C772B6">
        <w:rPr>
          <w:rFonts w:hint="eastAsia"/>
        </w:rPr>
        <w:t>朝阳区聚焦知识产权服务、创业孵化服务、科技成果转移转化等方向，拥有全国领先的知识产权服务集群。岗位需求集中于知识产权服务、科技成果转移转化、创业孵化服务三个方向，应届生月薪起薪</w:t>
      </w:r>
      <w:r w:rsidRPr="00C772B6">
        <w:rPr>
          <w:rFonts w:hint="eastAsia"/>
        </w:rPr>
        <w:t>8000-16000</w:t>
      </w:r>
      <w:r w:rsidRPr="00C772B6">
        <w:rPr>
          <w:rFonts w:hint="eastAsia"/>
        </w:rPr>
        <w:t>元。本科层次专业需求以法学类、经济学类、工商管理类为主，合计占比</w:t>
      </w:r>
      <w:r w:rsidRPr="00C772B6">
        <w:rPr>
          <w:rFonts w:hint="eastAsia"/>
        </w:rPr>
        <w:t>91.8%</w:t>
      </w:r>
      <w:r w:rsidRPr="00C772B6">
        <w:rPr>
          <w:rFonts w:hint="eastAsia"/>
        </w:rPr>
        <w:t>；研究生层次以法学、工商管理、应用经济学等为主。</w:t>
      </w:r>
    </w:p>
    <w:p w:rsidR="00C772B6" w:rsidRPr="000966FD" w:rsidRDefault="00C772B6" w:rsidP="000966FD">
      <w:pPr>
        <w:pStyle w:val="2"/>
        <w:ind w:firstLineChars="0" w:firstLine="640"/>
        <w:rPr>
          <w:rFonts w:hint="eastAsia"/>
        </w:rPr>
      </w:pPr>
      <w:r>
        <w:rPr>
          <w:rFonts w:hint="eastAsia"/>
        </w:rPr>
        <w:t>（十）</w:t>
      </w:r>
      <w:r w:rsidRPr="000966FD">
        <w:rPr>
          <w:rFonts w:hint="eastAsia"/>
        </w:rPr>
        <w:t>商务服务产业</w:t>
      </w:r>
    </w:p>
    <w:p w:rsidR="00C772B6" w:rsidRPr="00C772B6" w:rsidRDefault="00C772B6" w:rsidP="00C772B6">
      <w:pPr>
        <w:pStyle w:val="a3"/>
        <w:ind w:firstLine="616"/>
        <w:rPr>
          <w:rFonts w:hint="eastAsia"/>
        </w:rPr>
      </w:pPr>
      <w:r w:rsidRPr="00C772B6">
        <w:rPr>
          <w:rFonts w:hint="eastAsia"/>
        </w:rPr>
        <w:t>朝阳区汇聚了大量国际律师事务所、知名人力资源机构，在涉外法律服务、国际争议解决等领域形成全国领先优势。岗位需求集中于国际商事仲裁、人力资源技术服务两个方向，应届生月薪起薪</w:t>
      </w:r>
      <w:r w:rsidRPr="00C772B6">
        <w:rPr>
          <w:rFonts w:hint="eastAsia"/>
        </w:rPr>
        <w:t>9000-20000</w:t>
      </w:r>
      <w:r w:rsidRPr="00C772B6">
        <w:rPr>
          <w:rFonts w:hint="eastAsia"/>
        </w:rPr>
        <w:t>元。本科层次专业需求以经济学类、工商管理类、心理学类、公共管理类为主；研究生层次以应用经济学、工商管理学、应用心理等为主。</w:t>
      </w:r>
    </w:p>
    <w:p w:rsidR="00C772B6" w:rsidRPr="000966FD" w:rsidRDefault="00C772B6" w:rsidP="000966FD">
      <w:pPr>
        <w:pStyle w:val="2"/>
        <w:ind w:firstLineChars="0" w:firstLine="640"/>
        <w:rPr>
          <w:rFonts w:hint="eastAsia"/>
        </w:rPr>
      </w:pPr>
      <w:r>
        <w:rPr>
          <w:rFonts w:hint="eastAsia"/>
        </w:rPr>
        <w:t>（十一）</w:t>
      </w:r>
      <w:r w:rsidRPr="000966FD">
        <w:rPr>
          <w:rFonts w:hint="eastAsia"/>
        </w:rPr>
        <w:t>金融服务产业</w:t>
      </w:r>
    </w:p>
    <w:p w:rsidR="00C772B6" w:rsidRPr="00C772B6" w:rsidRDefault="00C772B6" w:rsidP="00AA6965">
      <w:pPr>
        <w:pStyle w:val="a3"/>
        <w:ind w:firstLine="616"/>
        <w:rPr>
          <w:rFonts w:hint="eastAsia"/>
        </w:rPr>
      </w:pPr>
      <w:r w:rsidRPr="00C772B6">
        <w:rPr>
          <w:rFonts w:hint="eastAsia"/>
        </w:rPr>
        <w:t>朝阳区汇聚了全市近四成总部金融机构、超六成外资金融机构，坐拥</w:t>
      </w:r>
      <w:r w:rsidRPr="00C772B6">
        <w:rPr>
          <w:rFonts w:hint="eastAsia"/>
        </w:rPr>
        <w:t>CBD</w:t>
      </w:r>
      <w:r w:rsidRPr="00C772B6">
        <w:rPr>
          <w:rFonts w:hint="eastAsia"/>
        </w:rPr>
        <w:t>核心金融区。岗位需求集中于金融科技、国家金融管理、</w:t>
      </w:r>
      <w:r w:rsidRPr="00C772B6">
        <w:rPr>
          <w:rFonts w:hint="eastAsia"/>
        </w:rPr>
        <w:lastRenderedPageBreak/>
        <w:t>绿色金融三个方向，应届生月薪起薪</w:t>
      </w:r>
      <w:r w:rsidRPr="00C772B6">
        <w:rPr>
          <w:rFonts w:hint="eastAsia"/>
        </w:rPr>
        <w:t>10000-24000</w:t>
      </w:r>
      <w:r w:rsidRPr="00C772B6">
        <w:rPr>
          <w:rFonts w:hint="eastAsia"/>
        </w:rPr>
        <w:t>元。本科层次专业需求以金融学类、电子信息类、数学类等为主；研究生层次以金融、电子信息、应用统计等为主。</w:t>
      </w:r>
    </w:p>
    <w:p w:rsidR="00C772B6" w:rsidRPr="000966FD" w:rsidRDefault="00AA6965" w:rsidP="000966FD">
      <w:pPr>
        <w:pStyle w:val="2"/>
        <w:ind w:firstLineChars="0" w:firstLine="640"/>
        <w:rPr>
          <w:rFonts w:hint="eastAsia"/>
        </w:rPr>
      </w:pPr>
      <w:r>
        <w:rPr>
          <w:rFonts w:hint="eastAsia"/>
        </w:rPr>
        <w:t>（十二）</w:t>
      </w:r>
      <w:r w:rsidR="00C772B6" w:rsidRPr="000966FD">
        <w:rPr>
          <w:rFonts w:hint="eastAsia"/>
        </w:rPr>
        <w:t>文化和旅游产业</w:t>
      </w:r>
    </w:p>
    <w:p w:rsidR="00C772B6" w:rsidRPr="00C772B6" w:rsidRDefault="00C772B6" w:rsidP="00AA6965">
      <w:pPr>
        <w:pStyle w:val="a3"/>
        <w:ind w:firstLine="616"/>
        <w:rPr>
          <w:rFonts w:hint="eastAsia"/>
        </w:rPr>
      </w:pPr>
      <w:r w:rsidRPr="00C772B6">
        <w:rPr>
          <w:rFonts w:hint="eastAsia"/>
        </w:rPr>
        <w:t>朝阳区依托</w:t>
      </w:r>
      <w:r w:rsidRPr="00C772B6">
        <w:rPr>
          <w:rFonts w:hint="eastAsia"/>
        </w:rPr>
        <w:t>CBD-</w:t>
      </w:r>
      <w:r w:rsidRPr="00C772B6">
        <w:rPr>
          <w:rFonts w:hint="eastAsia"/>
        </w:rPr>
        <w:t>三里屯</w:t>
      </w:r>
      <w:r w:rsidRPr="00C772B6">
        <w:rPr>
          <w:rFonts w:hint="eastAsia"/>
        </w:rPr>
        <w:t>-</w:t>
      </w:r>
      <w:r w:rsidRPr="00C772B6">
        <w:rPr>
          <w:rFonts w:hint="eastAsia"/>
        </w:rPr>
        <w:t>亮马河、国家文创实验区、</w:t>
      </w:r>
      <w:r w:rsidRPr="00C772B6">
        <w:rPr>
          <w:rFonts w:hint="eastAsia"/>
        </w:rPr>
        <w:t>798-751</w:t>
      </w:r>
      <w:r w:rsidRPr="00C772B6">
        <w:rPr>
          <w:rFonts w:hint="eastAsia"/>
        </w:rPr>
        <w:t>艺术区等载体，形成“文化</w:t>
      </w:r>
      <w:r w:rsidRPr="00C772B6">
        <w:rPr>
          <w:rFonts w:hint="eastAsia"/>
        </w:rPr>
        <w:t>+</w:t>
      </w:r>
      <w:r w:rsidRPr="00C772B6">
        <w:rPr>
          <w:rFonts w:hint="eastAsia"/>
        </w:rPr>
        <w:t>旅游</w:t>
      </w:r>
      <w:r w:rsidRPr="00C772B6">
        <w:rPr>
          <w:rFonts w:hint="eastAsia"/>
        </w:rPr>
        <w:t>+</w:t>
      </w:r>
      <w:r w:rsidRPr="00C772B6">
        <w:rPr>
          <w:rFonts w:hint="eastAsia"/>
        </w:rPr>
        <w:t>商业”融合发展格局。岗位需求集中于数字艺术</w:t>
      </w:r>
      <w:r w:rsidRPr="00C772B6">
        <w:rPr>
          <w:rFonts w:hint="eastAsia"/>
        </w:rPr>
        <w:t>IP</w:t>
      </w:r>
      <w:r w:rsidRPr="00C772B6">
        <w:rPr>
          <w:rFonts w:hint="eastAsia"/>
        </w:rPr>
        <w:t>开发、大型会展及演艺策划与运营、特色旅游资源开发三个方向，应届生月薪起薪</w:t>
      </w:r>
      <w:r w:rsidRPr="00C772B6">
        <w:rPr>
          <w:rFonts w:hint="eastAsia"/>
        </w:rPr>
        <w:t>6000-15000</w:t>
      </w:r>
      <w:r w:rsidRPr="00C772B6">
        <w:rPr>
          <w:rFonts w:hint="eastAsia"/>
        </w:rPr>
        <w:t>元。本科层次专业需求以历史学类、设计学类、地理科学类、旅游管理类为主；研究生层次以文物与博物馆、中国史、设计学为主。</w:t>
      </w:r>
    </w:p>
    <w:p w:rsidR="00C772B6" w:rsidRPr="000966FD" w:rsidRDefault="00AA6965" w:rsidP="000966FD">
      <w:pPr>
        <w:pStyle w:val="2"/>
        <w:ind w:firstLineChars="0" w:firstLine="640"/>
        <w:rPr>
          <w:rFonts w:hint="eastAsia"/>
        </w:rPr>
      </w:pPr>
      <w:r>
        <w:rPr>
          <w:rFonts w:hint="eastAsia"/>
        </w:rPr>
        <w:t>（十三）</w:t>
      </w:r>
      <w:r w:rsidR="00C772B6" w:rsidRPr="000966FD">
        <w:rPr>
          <w:rFonts w:hint="eastAsia"/>
        </w:rPr>
        <w:t>教育产业</w:t>
      </w:r>
    </w:p>
    <w:p w:rsidR="00C772B6" w:rsidRPr="00C772B6" w:rsidRDefault="00C772B6" w:rsidP="00AA6965">
      <w:pPr>
        <w:pStyle w:val="a3"/>
        <w:ind w:firstLine="616"/>
        <w:rPr>
          <w:rFonts w:hint="eastAsia"/>
        </w:rPr>
      </w:pPr>
      <w:r w:rsidRPr="00C772B6">
        <w:rPr>
          <w:rFonts w:hint="eastAsia"/>
        </w:rPr>
        <w:t>朝阳区已建成</w:t>
      </w:r>
      <w:r w:rsidRPr="00C772B6">
        <w:rPr>
          <w:rFonts w:hint="eastAsia"/>
        </w:rPr>
        <w:t>21</w:t>
      </w:r>
      <w:r w:rsidRPr="00C772B6">
        <w:rPr>
          <w:rFonts w:hint="eastAsia"/>
        </w:rPr>
        <w:t>个中小学教育集团，拥有特级教师</w:t>
      </w:r>
      <w:r w:rsidRPr="00C772B6">
        <w:rPr>
          <w:rFonts w:hint="eastAsia"/>
        </w:rPr>
        <w:t>285</w:t>
      </w:r>
      <w:r w:rsidRPr="00C772B6">
        <w:rPr>
          <w:rFonts w:hint="eastAsia"/>
        </w:rPr>
        <w:t>人、正高级教师</w:t>
      </w:r>
      <w:r w:rsidRPr="00C772B6">
        <w:rPr>
          <w:rFonts w:hint="eastAsia"/>
        </w:rPr>
        <w:t>218</w:t>
      </w:r>
      <w:r w:rsidRPr="00C772B6">
        <w:rPr>
          <w:rFonts w:hint="eastAsia"/>
        </w:rPr>
        <w:t>人，正加快构建教育强区。岗位需求集中于基础教育教师、教育科技与人工智能教育、教育管理与研究、职业教育与终身教育四个方向，应届生月薪起薪</w:t>
      </w:r>
      <w:r w:rsidRPr="00C772B6">
        <w:rPr>
          <w:rFonts w:hint="eastAsia"/>
        </w:rPr>
        <w:t>7000-18000</w:t>
      </w:r>
      <w:r w:rsidRPr="00C772B6">
        <w:rPr>
          <w:rFonts w:hint="eastAsia"/>
        </w:rPr>
        <w:t>元。本科层次专业需求以教育学类、中国语言文学类、数学类为主；研究生层次以教育学、教育、中国语言文学为主。</w:t>
      </w:r>
    </w:p>
    <w:p w:rsidR="00C772B6" w:rsidRPr="000966FD" w:rsidRDefault="00AA6965" w:rsidP="000966FD">
      <w:pPr>
        <w:pStyle w:val="2"/>
        <w:ind w:firstLineChars="0" w:firstLine="640"/>
      </w:pPr>
      <w:r>
        <w:rPr>
          <w:rFonts w:hint="eastAsia"/>
        </w:rPr>
        <w:t>（十四）</w:t>
      </w:r>
      <w:r w:rsidR="00C772B6" w:rsidRPr="000966FD">
        <w:rPr>
          <w:rFonts w:hint="eastAsia"/>
        </w:rPr>
        <w:t>医疗和养老产业</w:t>
      </w:r>
    </w:p>
    <w:p w:rsidR="00C772B6" w:rsidRPr="00C772B6" w:rsidRDefault="00C772B6" w:rsidP="00C772B6">
      <w:pPr>
        <w:pStyle w:val="a3"/>
        <w:ind w:firstLine="616"/>
        <w:rPr>
          <w:rFonts w:hint="eastAsia"/>
        </w:rPr>
      </w:pPr>
      <w:r w:rsidRPr="00C772B6">
        <w:rPr>
          <w:rFonts w:hint="eastAsia"/>
        </w:rPr>
        <w:t>朝阳区构建了“</w:t>
      </w:r>
      <w:r w:rsidRPr="00C772B6">
        <w:rPr>
          <w:rFonts w:hint="eastAsia"/>
        </w:rPr>
        <w:t>4+3+1+N</w:t>
      </w:r>
      <w:r w:rsidRPr="00C772B6">
        <w:rPr>
          <w:rFonts w:hint="eastAsia"/>
        </w:rPr>
        <w:t>”网格</w:t>
      </w:r>
      <w:proofErr w:type="gramStart"/>
      <w:r w:rsidRPr="00C772B6">
        <w:rPr>
          <w:rFonts w:hint="eastAsia"/>
        </w:rPr>
        <w:t>化医疗</w:t>
      </w:r>
      <w:proofErr w:type="gramEnd"/>
      <w:r w:rsidRPr="00C772B6">
        <w:rPr>
          <w:rFonts w:hint="eastAsia"/>
        </w:rPr>
        <w:t>服务体系，养老床位达</w:t>
      </w:r>
      <w:r w:rsidRPr="00C772B6">
        <w:rPr>
          <w:rFonts w:hint="eastAsia"/>
        </w:rPr>
        <w:t>2.4</w:t>
      </w:r>
      <w:r w:rsidRPr="00C772B6">
        <w:rPr>
          <w:rFonts w:hint="eastAsia"/>
        </w:rPr>
        <w:t>万张。岗位需求集中于临床医疗与护理、公共卫生与社区卫生、</w:t>
      </w:r>
      <w:proofErr w:type="gramStart"/>
      <w:r w:rsidRPr="00C772B6">
        <w:rPr>
          <w:rFonts w:hint="eastAsia"/>
        </w:rPr>
        <w:t>智慧康养与</w:t>
      </w:r>
      <w:proofErr w:type="gramEnd"/>
      <w:r w:rsidRPr="00C772B6">
        <w:rPr>
          <w:rFonts w:hint="eastAsia"/>
        </w:rPr>
        <w:t>养老科技、养老服务与管理、</w:t>
      </w:r>
      <w:proofErr w:type="gramStart"/>
      <w:r w:rsidRPr="00C772B6">
        <w:rPr>
          <w:rFonts w:hint="eastAsia"/>
        </w:rPr>
        <w:t>医</w:t>
      </w:r>
      <w:proofErr w:type="gramEnd"/>
      <w:r w:rsidRPr="00C772B6">
        <w:rPr>
          <w:rFonts w:hint="eastAsia"/>
        </w:rPr>
        <w:t>养结合与健康管理五个方向，应届生月薪起薪</w:t>
      </w:r>
      <w:r w:rsidRPr="00C772B6">
        <w:rPr>
          <w:rFonts w:hint="eastAsia"/>
        </w:rPr>
        <w:t>6000-20000</w:t>
      </w:r>
      <w:r w:rsidRPr="00C772B6">
        <w:rPr>
          <w:rFonts w:hint="eastAsia"/>
        </w:rPr>
        <w:t>元。本科层次专业需求以护理</w:t>
      </w:r>
      <w:r w:rsidRPr="00C772B6">
        <w:rPr>
          <w:rFonts w:hint="eastAsia"/>
        </w:rPr>
        <w:lastRenderedPageBreak/>
        <w:t>学类、公共管理类、临床医学类为主；研究生层次以护理学、公共管理、医学技术为主。</w:t>
      </w:r>
    </w:p>
    <w:p w:rsidR="006A3ED9" w:rsidRPr="006A3ED9" w:rsidRDefault="006A3ED9" w:rsidP="006A3ED9">
      <w:pPr>
        <w:jc w:val="center"/>
        <w:rPr>
          <w:rFonts w:ascii="Times New Roman" w:eastAsia="黑体" w:hAnsi="Times New Roman" w:cs="Times New Roman" w:hint="eastAsia"/>
          <w:sz w:val="24"/>
          <w:szCs w:val="30"/>
        </w:rPr>
      </w:pPr>
      <w:r w:rsidRPr="006A3ED9">
        <w:rPr>
          <w:rFonts w:ascii="Times New Roman" w:eastAsia="黑体" w:hAnsi="Times New Roman" w:cs="Times New Roman"/>
          <w:sz w:val="24"/>
          <w:szCs w:val="30"/>
        </w:rPr>
        <w:t>表</w:t>
      </w:r>
      <w:r w:rsidRPr="006A3ED9">
        <w:rPr>
          <w:rFonts w:ascii="Times New Roman" w:eastAsia="黑体" w:hAnsi="Times New Roman" w:cs="Times New Roman"/>
          <w:sz w:val="24"/>
          <w:szCs w:val="30"/>
        </w:rPr>
        <w:t xml:space="preserve">1 </w:t>
      </w:r>
      <w:r w:rsidRPr="006A3ED9">
        <w:rPr>
          <w:rFonts w:ascii="Times New Roman" w:eastAsia="黑体" w:hAnsi="Times New Roman" w:cs="Times New Roman" w:hint="eastAsia"/>
          <w:sz w:val="24"/>
          <w:szCs w:val="30"/>
        </w:rPr>
        <w:t>北京朝阳区</w:t>
      </w:r>
      <w:r w:rsidRPr="006A3ED9">
        <w:rPr>
          <w:rFonts w:ascii="Times New Roman" w:eastAsia="黑体" w:hAnsi="Times New Roman" w:cs="Times New Roman" w:hint="eastAsia"/>
          <w:sz w:val="24"/>
          <w:szCs w:val="30"/>
        </w:rPr>
        <w:t>14</w:t>
      </w:r>
      <w:r w:rsidRPr="006A3ED9">
        <w:rPr>
          <w:rFonts w:ascii="Times New Roman" w:eastAsia="黑体" w:hAnsi="Times New Roman" w:cs="Times New Roman" w:hint="eastAsia"/>
          <w:sz w:val="24"/>
          <w:szCs w:val="30"/>
        </w:rPr>
        <w:t>个重点产业人才需求汇总表</w:t>
      </w: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04"/>
        <w:gridCol w:w="1134"/>
        <w:gridCol w:w="2977"/>
        <w:gridCol w:w="1678"/>
        <w:gridCol w:w="2195"/>
      </w:tblGrid>
      <w:tr w:rsidR="006A3ED9" w:rsidRPr="006A3ED9" w:rsidTr="006A3ED9">
        <w:trPr>
          <w:trHeight w:val="270"/>
        </w:trPr>
        <w:tc>
          <w:tcPr>
            <w:tcW w:w="704" w:type="dxa"/>
            <w:tcBorders>
              <w:top w:val="single" w:sz="12" w:space="0" w:color="auto"/>
              <w:left w:val="nil"/>
              <w:bottom w:val="single" w:sz="12" w:space="0" w:color="auto"/>
            </w:tcBorders>
            <w:shd w:val="clear" w:color="auto" w:fill="auto"/>
            <w:noWrap/>
            <w:vAlign w:val="center"/>
          </w:tcPr>
          <w:p w:rsidR="006A3ED9" w:rsidRPr="006A3ED9" w:rsidRDefault="006A3ED9" w:rsidP="006A3ED9">
            <w:pPr>
              <w:widowControl/>
              <w:adjustRightInd w:val="0"/>
              <w:snapToGrid w:val="0"/>
              <w:jc w:val="left"/>
              <w:divId w:val="1342662043"/>
              <w:rPr>
                <w:rFonts w:ascii="宋体" w:eastAsia="宋体" w:hAnsi="宋体" w:cs="宋体"/>
                <w:b/>
                <w:color w:val="000000"/>
                <w:kern w:val="0"/>
                <w:sz w:val="20"/>
                <w:szCs w:val="21"/>
              </w:rPr>
            </w:pPr>
            <w:r w:rsidRPr="006A3ED9">
              <w:rPr>
                <w:rFonts w:hint="eastAsia"/>
                <w:b/>
                <w:color w:val="000000"/>
                <w:sz w:val="20"/>
                <w:szCs w:val="21"/>
              </w:rPr>
              <w:t>序号</w:t>
            </w:r>
          </w:p>
        </w:tc>
        <w:tc>
          <w:tcPr>
            <w:tcW w:w="1134" w:type="dxa"/>
            <w:tcBorders>
              <w:top w:val="single" w:sz="12" w:space="0" w:color="auto"/>
              <w:bottom w:val="single" w:sz="12" w:space="0" w:color="auto"/>
            </w:tcBorders>
            <w:shd w:val="clear" w:color="auto" w:fill="auto"/>
            <w:noWrap/>
            <w:vAlign w:val="center"/>
          </w:tcPr>
          <w:p w:rsidR="006A3ED9" w:rsidRPr="006A3ED9" w:rsidRDefault="006A3ED9" w:rsidP="006A3ED9">
            <w:pPr>
              <w:adjustRightInd w:val="0"/>
              <w:snapToGrid w:val="0"/>
              <w:jc w:val="center"/>
              <w:rPr>
                <w:rFonts w:hint="eastAsia"/>
                <w:b/>
                <w:color w:val="000000"/>
                <w:sz w:val="20"/>
                <w:szCs w:val="21"/>
              </w:rPr>
            </w:pPr>
            <w:r w:rsidRPr="006A3ED9">
              <w:rPr>
                <w:rFonts w:hint="eastAsia"/>
                <w:b/>
                <w:color w:val="000000"/>
                <w:sz w:val="20"/>
                <w:szCs w:val="21"/>
              </w:rPr>
              <w:t>产业名称</w:t>
            </w:r>
          </w:p>
        </w:tc>
        <w:tc>
          <w:tcPr>
            <w:tcW w:w="2977" w:type="dxa"/>
            <w:tcBorders>
              <w:top w:val="single" w:sz="12" w:space="0" w:color="auto"/>
              <w:bottom w:val="single" w:sz="12" w:space="0" w:color="auto"/>
            </w:tcBorders>
            <w:shd w:val="clear" w:color="auto" w:fill="auto"/>
            <w:noWrap/>
            <w:vAlign w:val="center"/>
          </w:tcPr>
          <w:p w:rsidR="006A3ED9" w:rsidRPr="006A3ED9" w:rsidRDefault="006A3ED9" w:rsidP="006A3ED9">
            <w:pPr>
              <w:adjustRightInd w:val="0"/>
              <w:snapToGrid w:val="0"/>
              <w:jc w:val="center"/>
              <w:rPr>
                <w:rFonts w:hint="eastAsia"/>
                <w:b/>
                <w:color w:val="000000"/>
                <w:sz w:val="20"/>
                <w:szCs w:val="21"/>
              </w:rPr>
            </w:pPr>
            <w:r w:rsidRPr="006A3ED9">
              <w:rPr>
                <w:rFonts w:hint="eastAsia"/>
                <w:b/>
                <w:color w:val="000000"/>
                <w:sz w:val="20"/>
                <w:szCs w:val="21"/>
              </w:rPr>
              <w:t>主要岗位方向</w:t>
            </w:r>
          </w:p>
        </w:tc>
        <w:tc>
          <w:tcPr>
            <w:tcW w:w="1678" w:type="dxa"/>
            <w:tcBorders>
              <w:top w:val="single" w:sz="12" w:space="0" w:color="auto"/>
              <w:bottom w:val="single" w:sz="12" w:space="0" w:color="auto"/>
            </w:tcBorders>
            <w:shd w:val="clear" w:color="auto" w:fill="auto"/>
            <w:noWrap/>
            <w:vAlign w:val="center"/>
          </w:tcPr>
          <w:p w:rsidR="006A3ED9" w:rsidRPr="006A3ED9" w:rsidRDefault="006A3ED9" w:rsidP="006A3ED9">
            <w:pPr>
              <w:adjustRightInd w:val="0"/>
              <w:snapToGrid w:val="0"/>
              <w:jc w:val="center"/>
              <w:rPr>
                <w:rFonts w:hint="eastAsia"/>
                <w:b/>
                <w:color w:val="000000"/>
                <w:sz w:val="20"/>
                <w:szCs w:val="21"/>
              </w:rPr>
            </w:pPr>
            <w:r w:rsidRPr="006A3ED9">
              <w:rPr>
                <w:rFonts w:hint="eastAsia"/>
                <w:b/>
                <w:color w:val="000000"/>
                <w:sz w:val="20"/>
                <w:szCs w:val="21"/>
              </w:rPr>
              <w:t>月薪起薪范围</w:t>
            </w:r>
          </w:p>
        </w:tc>
        <w:tc>
          <w:tcPr>
            <w:tcW w:w="2195" w:type="dxa"/>
            <w:tcBorders>
              <w:top w:val="single" w:sz="12" w:space="0" w:color="auto"/>
              <w:bottom w:val="single" w:sz="12" w:space="0" w:color="auto"/>
              <w:right w:val="nil"/>
            </w:tcBorders>
            <w:shd w:val="clear" w:color="auto" w:fill="auto"/>
            <w:noWrap/>
            <w:vAlign w:val="center"/>
          </w:tcPr>
          <w:p w:rsidR="006A3ED9" w:rsidRPr="006A3ED9" w:rsidRDefault="006A3ED9" w:rsidP="006A3ED9">
            <w:pPr>
              <w:adjustRightInd w:val="0"/>
              <w:snapToGrid w:val="0"/>
              <w:jc w:val="center"/>
              <w:rPr>
                <w:rFonts w:hint="eastAsia"/>
                <w:b/>
                <w:color w:val="000000"/>
                <w:sz w:val="20"/>
                <w:szCs w:val="21"/>
              </w:rPr>
            </w:pPr>
            <w:r w:rsidRPr="006A3ED9">
              <w:rPr>
                <w:rFonts w:hint="eastAsia"/>
                <w:b/>
                <w:color w:val="000000"/>
                <w:sz w:val="20"/>
                <w:szCs w:val="21"/>
              </w:rPr>
              <w:t>核心专业需求</w:t>
            </w:r>
          </w:p>
        </w:tc>
      </w:tr>
      <w:tr w:rsidR="006A3ED9" w:rsidRPr="006A3ED9" w:rsidTr="006A3ED9">
        <w:trPr>
          <w:trHeight w:val="270"/>
        </w:trPr>
        <w:tc>
          <w:tcPr>
            <w:tcW w:w="704" w:type="dxa"/>
            <w:tcBorders>
              <w:top w:val="single" w:sz="12" w:space="0" w:color="auto"/>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color w:val="000000"/>
                <w:kern w:val="0"/>
                <w:sz w:val="20"/>
                <w:szCs w:val="21"/>
              </w:rPr>
            </w:pPr>
            <w:r w:rsidRPr="006A3ED9">
              <w:rPr>
                <w:rFonts w:asciiTheme="minorEastAsia" w:hAnsiTheme="minorEastAsia" w:cs="宋体" w:hint="eastAsia"/>
                <w:color w:val="000000"/>
                <w:kern w:val="0"/>
                <w:sz w:val="20"/>
                <w:szCs w:val="21"/>
              </w:rPr>
              <w:t>1</w:t>
            </w:r>
          </w:p>
        </w:tc>
        <w:tc>
          <w:tcPr>
            <w:tcW w:w="1134" w:type="dxa"/>
            <w:tcBorders>
              <w:top w:val="single" w:sz="12"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新一代信息技术</w:t>
            </w:r>
          </w:p>
        </w:tc>
        <w:tc>
          <w:tcPr>
            <w:tcW w:w="2977" w:type="dxa"/>
            <w:tcBorders>
              <w:top w:val="single" w:sz="12"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软件开发与云计算、人工智能与算法、通信与网络安全、硬件与嵌入式开发</w:t>
            </w:r>
          </w:p>
        </w:tc>
        <w:tc>
          <w:tcPr>
            <w:tcW w:w="1678" w:type="dxa"/>
            <w:tcBorders>
              <w:top w:val="single" w:sz="12" w:space="0" w:color="auto"/>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8000-25000元</w:t>
            </w:r>
          </w:p>
        </w:tc>
        <w:tc>
          <w:tcPr>
            <w:tcW w:w="2195" w:type="dxa"/>
            <w:tcBorders>
              <w:top w:val="single" w:sz="12" w:space="0" w:color="auto"/>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计算机类、电子信息类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2</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人工智能</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算法研发、大模型工程、AI开发与应用、产业智能化</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12000-30000元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计算机类、电子信息类、数学类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3</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集成电路</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芯片设计、EDA与芯片软件开发、芯片封装与测试、芯片制造与工艺</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10000-25000元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电子信息类、计算机类、机械类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4</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医药健康</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生物制品研发、细胞与基因治疗、数字医疗、高端医疗器械、脑科学与</w:t>
            </w:r>
            <w:proofErr w:type="gramStart"/>
            <w:r w:rsidRPr="006A3ED9">
              <w:rPr>
                <w:rFonts w:asciiTheme="minorEastAsia" w:hAnsiTheme="minorEastAsia" w:cs="宋体" w:hint="eastAsia"/>
                <w:color w:val="000000"/>
                <w:kern w:val="0"/>
                <w:sz w:val="20"/>
                <w:szCs w:val="21"/>
              </w:rPr>
              <w:t>脑机接口</w:t>
            </w:r>
            <w:proofErr w:type="gramEnd"/>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7000-20000元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生物医学工程类、生物科学类、基础医学类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5</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智能制造与装备</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智能机器人、商用航天器、低空飞行器、科学仪器、智慧轨道交通</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8000-20000元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计算机类、机械类、自动化类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6</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绿色能源与节能环保</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低碳技术、氢能技术、新型储能、ESG</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7000-16000元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环境科学与工程类、电气类、能源动力类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7</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智能网联汽车</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智能驾驶、动力总成与三电、车联网与智能网联、电池技术</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9000-22000元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自动化类、机械类、电子信息类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8</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新材料</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前沿材料研发、材料应用工程、材料测试与表征</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7000-16000元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材料类、化工与制药类、化学类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9</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科技服务</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知识产权服务、科技成果转移转化、创业孵化服务</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8000-16000元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法学类、经济学类、工商管理类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10</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商务服务</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国际商事仲裁、人力资源技术服务</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9000-20000元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经济学类、工商管理类、心理学类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11</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金融服务</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金融科技、国家金融管理、绿色金融</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10000-24000元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金融学类、电子信息类、数学类</w:t>
            </w:r>
          </w:p>
        </w:tc>
      </w:tr>
      <w:tr w:rsidR="006A3ED9" w:rsidRPr="006A3ED9" w:rsidTr="006A3ED9">
        <w:trPr>
          <w:trHeight w:val="270"/>
        </w:trPr>
        <w:tc>
          <w:tcPr>
            <w:tcW w:w="704" w:type="dxa"/>
            <w:tcBorders>
              <w:left w:val="nil"/>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12</w:t>
            </w:r>
          </w:p>
        </w:tc>
        <w:tc>
          <w:tcPr>
            <w:tcW w:w="1134"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文化和旅游</w:t>
            </w:r>
          </w:p>
        </w:tc>
        <w:tc>
          <w:tcPr>
            <w:tcW w:w="2977" w:type="dxa"/>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数字艺术IP开发、大型会展及演艺策划、特色旅游资源开发</w:t>
            </w:r>
          </w:p>
        </w:tc>
        <w:tc>
          <w:tcPr>
            <w:tcW w:w="1678" w:type="dxa"/>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6000-15000元</w:t>
            </w:r>
          </w:p>
        </w:tc>
        <w:tc>
          <w:tcPr>
            <w:tcW w:w="2195" w:type="dxa"/>
            <w:tcBorders>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设计学类、旅游管理类、新闻传播学类</w:t>
            </w:r>
          </w:p>
        </w:tc>
      </w:tr>
      <w:tr w:rsidR="006A3ED9" w:rsidRPr="006A3ED9" w:rsidTr="006A3ED9">
        <w:trPr>
          <w:trHeight w:val="270"/>
        </w:trPr>
        <w:tc>
          <w:tcPr>
            <w:tcW w:w="704" w:type="dxa"/>
            <w:tcBorders>
              <w:left w:val="nil"/>
              <w:bottom w:val="single" w:sz="4" w:space="0" w:color="auto"/>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13</w:t>
            </w:r>
          </w:p>
        </w:tc>
        <w:tc>
          <w:tcPr>
            <w:tcW w:w="1134" w:type="dxa"/>
            <w:tcBorders>
              <w:bottom w:val="single" w:sz="4"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教育</w:t>
            </w:r>
          </w:p>
        </w:tc>
        <w:tc>
          <w:tcPr>
            <w:tcW w:w="2977" w:type="dxa"/>
            <w:tcBorders>
              <w:bottom w:val="single" w:sz="4"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基础教育教师、教育科技与人工智能教育、教育管理与研究</w:t>
            </w:r>
          </w:p>
        </w:tc>
        <w:tc>
          <w:tcPr>
            <w:tcW w:w="1678" w:type="dxa"/>
            <w:tcBorders>
              <w:bottom w:val="single" w:sz="4" w:space="0" w:color="auto"/>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7000-18000元</w:t>
            </w:r>
          </w:p>
        </w:tc>
        <w:tc>
          <w:tcPr>
            <w:tcW w:w="2195" w:type="dxa"/>
            <w:tcBorders>
              <w:bottom w:val="single" w:sz="4" w:space="0" w:color="auto"/>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教育学类、中国语言文学类、数学类</w:t>
            </w:r>
          </w:p>
        </w:tc>
      </w:tr>
      <w:tr w:rsidR="006A3ED9" w:rsidRPr="006A3ED9" w:rsidTr="006A3ED9">
        <w:trPr>
          <w:trHeight w:val="270"/>
        </w:trPr>
        <w:tc>
          <w:tcPr>
            <w:tcW w:w="704" w:type="dxa"/>
            <w:tcBorders>
              <w:left w:val="nil"/>
              <w:bottom w:val="single" w:sz="12" w:space="0" w:color="auto"/>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14</w:t>
            </w:r>
          </w:p>
        </w:tc>
        <w:tc>
          <w:tcPr>
            <w:tcW w:w="1134" w:type="dxa"/>
            <w:tcBorders>
              <w:bottom w:val="single" w:sz="12"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医疗和养老</w:t>
            </w:r>
          </w:p>
        </w:tc>
        <w:tc>
          <w:tcPr>
            <w:tcW w:w="2977" w:type="dxa"/>
            <w:tcBorders>
              <w:bottom w:val="single" w:sz="12" w:space="0" w:color="auto"/>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临床医疗与护理、智慧康养与养老科技、养老服务与管理</w:t>
            </w:r>
          </w:p>
        </w:tc>
        <w:tc>
          <w:tcPr>
            <w:tcW w:w="1678" w:type="dxa"/>
            <w:tcBorders>
              <w:bottom w:val="single" w:sz="12" w:space="0" w:color="auto"/>
            </w:tcBorders>
            <w:shd w:val="clear" w:color="auto" w:fill="auto"/>
            <w:noWrap/>
            <w:vAlign w:val="center"/>
            <w:hideMark/>
          </w:tcPr>
          <w:p w:rsidR="006A3ED9" w:rsidRPr="006A3ED9" w:rsidRDefault="006A3ED9" w:rsidP="006A3ED9">
            <w:pPr>
              <w:widowControl/>
              <w:adjustRightInd w:val="0"/>
              <w:snapToGrid w:val="0"/>
              <w:jc w:val="center"/>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6000-20000元</w:t>
            </w:r>
          </w:p>
        </w:tc>
        <w:tc>
          <w:tcPr>
            <w:tcW w:w="2195" w:type="dxa"/>
            <w:tcBorders>
              <w:bottom w:val="single" w:sz="12" w:space="0" w:color="auto"/>
              <w:right w:val="nil"/>
            </w:tcBorders>
            <w:shd w:val="clear" w:color="auto" w:fill="auto"/>
            <w:noWrap/>
            <w:vAlign w:val="center"/>
            <w:hideMark/>
          </w:tcPr>
          <w:p w:rsidR="006A3ED9" w:rsidRPr="006A3ED9" w:rsidRDefault="006A3ED9" w:rsidP="006A3ED9">
            <w:pPr>
              <w:widowControl/>
              <w:adjustRightInd w:val="0"/>
              <w:snapToGrid w:val="0"/>
              <w:rPr>
                <w:rFonts w:asciiTheme="minorEastAsia" w:hAnsiTheme="minorEastAsia" w:cs="宋体" w:hint="eastAsia"/>
                <w:color w:val="000000"/>
                <w:kern w:val="0"/>
                <w:sz w:val="20"/>
                <w:szCs w:val="21"/>
              </w:rPr>
            </w:pPr>
            <w:r w:rsidRPr="006A3ED9">
              <w:rPr>
                <w:rFonts w:asciiTheme="minorEastAsia" w:hAnsiTheme="minorEastAsia" w:cs="宋体" w:hint="eastAsia"/>
                <w:color w:val="000000"/>
                <w:kern w:val="0"/>
                <w:sz w:val="20"/>
                <w:szCs w:val="21"/>
              </w:rPr>
              <w:t>护理学类、公共管理类、医学技术类</w:t>
            </w:r>
          </w:p>
        </w:tc>
      </w:tr>
    </w:tbl>
    <w:p w:rsidR="00D11AD2" w:rsidRDefault="00D11AD2" w:rsidP="00D11AD2">
      <w:pPr>
        <w:pStyle w:val="1"/>
        <w:ind w:firstLineChars="0" w:firstLine="640"/>
      </w:pPr>
      <w:r>
        <w:rPr>
          <w:rFonts w:hint="eastAsia"/>
        </w:rPr>
        <w:lastRenderedPageBreak/>
        <w:t>四、</w:t>
      </w:r>
      <w:r w:rsidR="00CF15AA" w:rsidRPr="00CF15AA">
        <w:rPr>
          <w:rFonts w:hint="eastAsia"/>
        </w:rPr>
        <w:t>重点产业国内适配高校推荐</w:t>
      </w:r>
    </w:p>
    <w:p w:rsidR="00D11AD2" w:rsidRPr="00C772B6" w:rsidRDefault="00CF15AA" w:rsidP="00D11AD2">
      <w:pPr>
        <w:pStyle w:val="a3"/>
        <w:ind w:firstLine="616"/>
        <w:rPr>
          <w:rFonts w:hint="eastAsia"/>
        </w:rPr>
      </w:pPr>
      <w:r w:rsidRPr="00CF15AA">
        <w:rPr>
          <w:rFonts w:hint="eastAsia"/>
        </w:rPr>
        <w:t>本报告从学科实力、生源规模、岗位意愿、行业意愿、在京就业意愿等维度，对国内双一流高校进行综合评估。各重点产业综合适配度较高的院校如下：</w:t>
      </w:r>
    </w:p>
    <w:p w:rsidR="00CF15AA" w:rsidRPr="006A3ED9" w:rsidRDefault="00CF15AA" w:rsidP="00CF15AA">
      <w:pPr>
        <w:jc w:val="center"/>
        <w:rPr>
          <w:rFonts w:ascii="Times New Roman" w:eastAsia="黑体" w:hAnsi="Times New Roman" w:cs="Times New Roman" w:hint="eastAsia"/>
          <w:sz w:val="24"/>
          <w:szCs w:val="30"/>
        </w:rPr>
      </w:pPr>
      <w:r w:rsidRPr="006A3ED9">
        <w:rPr>
          <w:rFonts w:ascii="Times New Roman" w:eastAsia="黑体" w:hAnsi="Times New Roman" w:cs="Times New Roman"/>
          <w:sz w:val="24"/>
          <w:szCs w:val="30"/>
        </w:rPr>
        <w:t>表</w:t>
      </w:r>
      <w:r>
        <w:rPr>
          <w:rFonts w:ascii="Times New Roman" w:eastAsia="黑体" w:hAnsi="Times New Roman" w:cs="Times New Roman"/>
          <w:sz w:val="24"/>
          <w:szCs w:val="30"/>
        </w:rPr>
        <w:t>2</w:t>
      </w:r>
      <w:r w:rsidRPr="006A3ED9">
        <w:rPr>
          <w:rFonts w:ascii="Times New Roman" w:eastAsia="黑体" w:hAnsi="Times New Roman" w:cs="Times New Roman"/>
          <w:sz w:val="24"/>
          <w:szCs w:val="30"/>
        </w:rPr>
        <w:t xml:space="preserve"> </w:t>
      </w:r>
      <w:r w:rsidRPr="006A3ED9">
        <w:rPr>
          <w:rFonts w:ascii="Times New Roman" w:eastAsia="黑体" w:hAnsi="Times New Roman" w:cs="Times New Roman" w:hint="eastAsia"/>
          <w:sz w:val="24"/>
          <w:szCs w:val="30"/>
        </w:rPr>
        <w:t>北京朝阳区</w:t>
      </w:r>
      <w:r w:rsidRPr="006A3ED9">
        <w:rPr>
          <w:rFonts w:ascii="Times New Roman" w:eastAsia="黑体" w:hAnsi="Times New Roman" w:cs="Times New Roman" w:hint="eastAsia"/>
          <w:sz w:val="24"/>
          <w:szCs w:val="30"/>
        </w:rPr>
        <w:t>14</w:t>
      </w:r>
      <w:r w:rsidRPr="006A3ED9">
        <w:rPr>
          <w:rFonts w:ascii="Times New Roman" w:eastAsia="黑体" w:hAnsi="Times New Roman" w:cs="Times New Roman" w:hint="eastAsia"/>
          <w:sz w:val="24"/>
          <w:szCs w:val="30"/>
        </w:rPr>
        <w:t>个重点产业</w:t>
      </w:r>
      <w:r w:rsidRPr="00CF15AA">
        <w:rPr>
          <w:rFonts w:ascii="Times New Roman" w:eastAsia="黑体" w:hAnsi="Times New Roman" w:cs="Times New Roman" w:hint="eastAsia"/>
          <w:sz w:val="24"/>
          <w:szCs w:val="30"/>
        </w:rPr>
        <w:t>国内适配高校推荐</w:t>
      </w:r>
      <w:r>
        <w:rPr>
          <w:rFonts w:ascii="Times New Roman" w:eastAsia="黑体" w:hAnsi="Times New Roman" w:cs="Times New Roman" w:hint="eastAsia"/>
          <w:sz w:val="24"/>
          <w:szCs w:val="30"/>
        </w:rPr>
        <w:t>表</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2131"/>
        <w:gridCol w:w="5954"/>
      </w:tblGrid>
      <w:tr w:rsidR="00CF15AA" w:rsidRPr="006A3ED9" w:rsidTr="008B3A89">
        <w:trPr>
          <w:trHeight w:val="270"/>
        </w:trPr>
        <w:tc>
          <w:tcPr>
            <w:tcW w:w="704" w:type="dxa"/>
            <w:tcBorders>
              <w:top w:val="single" w:sz="12" w:space="0" w:color="auto"/>
              <w:left w:val="nil"/>
              <w:bottom w:val="single" w:sz="12" w:space="0" w:color="auto"/>
            </w:tcBorders>
            <w:shd w:val="clear" w:color="auto" w:fill="auto"/>
            <w:noWrap/>
            <w:vAlign w:val="center"/>
          </w:tcPr>
          <w:p w:rsidR="00CF15AA" w:rsidRPr="008B3A89" w:rsidRDefault="00CF15AA" w:rsidP="00AE04EB">
            <w:pPr>
              <w:widowControl/>
              <w:adjustRightInd w:val="0"/>
              <w:snapToGrid w:val="0"/>
              <w:jc w:val="left"/>
              <w:rPr>
                <w:rFonts w:ascii="宋体" w:eastAsia="宋体" w:hAnsi="宋体" w:cs="宋体"/>
                <w:b/>
                <w:color w:val="000000"/>
                <w:kern w:val="0"/>
                <w:szCs w:val="21"/>
              </w:rPr>
            </w:pPr>
            <w:r w:rsidRPr="008B3A89">
              <w:rPr>
                <w:rFonts w:hint="eastAsia"/>
                <w:b/>
                <w:color w:val="000000"/>
                <w:szCs w:val="21"/>
              </w:rPr>
              <w:t>序号</w:t>
            </w:r>
          </w:p>
        </w:tc>
        <w:tc>
          <w:tcPr>
            <w:tcW w:w="2131" w:type="dxa"/>
            <w:tcBorders>
              <w:top w:val="single" w:sz="12" w:space="0" w:color="auto"/>
              <w:bottom w:val="single" w:sz="12" w:space="0" w:color="auto"/>
            </w:tcBorders>
            <w:shd w:val="clear" w:color="auto" w:fill="auto"/>
            <w:noWrap/>
            <w:vAlign w:val="center"/>
          </w:tcPr>
          <w:p w:rsidR="00CF15AA" w:rsidRPr="008B3A89" w:rsidRDefault="00CF15AA" w:rsidP="00AE04EB">
            <w:pPr>
              <w:adjustRightInd w:val="0"/>
              <w:snapToGrid w:val="0"/>
              <w:jc w:val="center"/>
              <w:rPr>
                <w:rFonts w:hint="eastAsia"/>
                <w:b/>
                <w:color w:val="000000"/>
                <w:szCs w:val="21"/>
              </w:rPr>
            </w:pPr>
            <w:r w:rsidRPr="008B3A89">
              <w:rPr>
                <w:rFonts w:hint="eastAsia"/>
                <w:b/>
                <w:color w:val="000000"/>
                <w:szCs w:val="21"/>
              </w:rPr>
              <w:t>产业名称</w:t>
            </w:r>
          </w:p>
        </w:tc>
        <w:tc>
          <w:tcPr>
            <w:tcW w:w="5954" w:type="dxa"/>
            <w:tcBorders>
              <w:top w:val="single" w:sz="12" w:space="0" w:color="auto"/>
              <w:bottom w:val="single" w:sz="12" w:space="0" w:color="auto"/>
              <w:right w:val="nil"/>
            </w:tcBorders>
            <w:shd w:val="clear" w:color="auto" w:fill="auto"/>
            <w:noWrap/>
            <w:vAlign w:val="center"/>
          </w:tcPr>
          <w:p w:rsidR="00CF15AA" w:rsidRPr="008B3A89" w:rsidRDefault="00AE04EB" w:rsidP="00AE04EB">
            <w:pPr>
              <w:adjustRightInd w:val="0"/>
              <w:snapToGrid w:val="0"/>
              <w:jc w:val="center"/>
              <w:rPr>
                <w:rFonts w:hint="eastAsia"/>
                <w:b/>
                <w:color w:val="000000"/>
                <w:szCs w:val="21"/>
              </w:rPr>
            </w:pPr>
            <w:r w:rsidRPr="008B3A89">
              <w:rPr>
                <w:rFonts w:hint="eastAsia"/>
                <w:b/>
                <w:color w:val="000000"/>
                <w:szCs w:val="21"/>
              </w:rPr>
              <w:t>主要</w:t>
            </w:r>
            <w:r w:rsidR="00CF15AA" w:rsidRPr="008B3A89">
              <w:rPr>
                <w:rFonts w:hint="eastAsia"/>
                <w:b/>
                <w:color w:val="000000"/>
                <w:szCs w:val="21"/>
              </w:rPr>
              <w:t>适配高校</w:t>
            </w:r>
          </w:p>
        </w:tc>
      </w:tr>
      <w:tr w:rsidR="00CF15AA" w:rsidRPr="006A3ED9" w:rsidTr="008B3A89">
        <w:trPr>
          <w:trHeight w:val="270"/>
        </w:trPr>
        <w:tc>
          <w:tcPr>
            <w:tcW w:w="704" w:type="dxa"/>
            <w:tcBorders>
              <w:top w:val="single" w:sz="12" w:space="0" w:color="auto"/>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color w:val="000000"/>
                <w:kern w:val="0"/>
                <w:szCs w:val="21"/>
              </w:rPr>
            </w:pPr>
            <w:r w:rsidRPr="008B3A89">
              <w:rPr>
                <w:rFonts w:asciiTheme="minorEastAsia" w:hAnsiTheme="minorEastAsia" w:cs="宋体" w:hint="eastAsia"/>
                <w:color w:val="000000"/>
                <w:kern w:val="0"/>
                <w:szCs w:val="21"/>
              </w:rPr>
              <w:t>1</w:t>
            </w:r>
          </w:p>
        </w:tc>
        <w:tc>
          <w:tcPr>
            <w:tcW w:w="2131" w:type="dxa"/>
            <w:tcBorders>
              <w:top w:val="single" w:sz="12" w:space="0" w:color="auto"/>
            </w:tcBorders>
            <w:shd w:val="clear" w:color="auto" w:fill="auto"/>
            <w:noWrap/>
            <w:vAlign w:val="center"/>
            <w:hideMark/>
          </w:tcPr>
          <w:p w:rsidR="00CF15AA" w:rsidRPr="008B3A89" w:rsidRDefault="00CF15AA" w:rsidP="00CF15AA">
            <w:pPr>
              <w:widowControl/>
              <w:adjustRightInd w:val="0"/>
              <w:snapToGrid w:val="0"/>
              <w:jc w:val="center"/>
              <w:rPr>
                <w:rFonts w:ascii="宋体" w:eastAsia="宋体" w:hAnsi="宋体" w:cs="宋体"/>
                <w:color w:val="000000"/>
                <w:kern w:val="0"/>
              </w:rPr>
            </w:pPr>
            <w:r w:rsidRPr="008B3A89">
              <w:rPr>
                <w:rFonts w:hint="eastAsia"/>
                <w:color w:val="000000"/>
              </w:rPr>
              <w:t>新一代信息技术</w:t>
            </w:r>
          </w:p>
        </w:tc>
        <w:tc>
          <w:tcPr>
            <w:tcW w:w="5954" w:type="dxa"/>
            <w:tcBorders>
              <w:top w:val="single" w:sz="12" w:space="0" w:color="auto"/>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北京邮电大学、清华大学、西安电子科技大学、北京理工大学、哈尔滨工业大学、中国科学院大学、北京大学、北京交通大学、北京航空航天大学、电子科技大学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2</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人工智能</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中国科学院大学、清华大学、北京大学、北京邮电大学、北京航空航天大学、浙江大学、北京理工大学、东北大学、哈尔滨工业大学、西北工业大学、北京交通大学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3</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集成电路</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清华大学、浙江大学、电子科技大学、北京理工大学、北京邮电大学、西安电子科技大学、北京工业大学、上海交通大学、北京航空航天大学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4</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医药健康</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清华大学、北京大学、上海交通大学、中国科学院大学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5</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智能制造与装备</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北京理工大学、北京航空航天大学、中国科学院大学、西北工业大学、清华大学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6</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绿色能源与节能环保</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清华大学、浙江大学、上海交通大学、中国科学院大学、北京大学、哈尔滨工业大学、山东大学、华北电力大学、北京交通大学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7</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智能网联汽车</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中国科学院大学、浙江大学、清华大学、哈尔滨工业大学、重庆大学、西安交通大学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8</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新材料</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北京化工大学、天津大学、中国科学院大学、华东理工大学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9</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科技服务</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中国人民大学、北京大学、中央财经大学、对外经济贸易大学、中国政法大学、中南</w:t>
            </w:r>
            <w:proofErr w:type="gramStart"/>
            <w:r w:rsidRPr="008B3A89">
              <w:rPr>
                <w:rFonts w:hint="eastAsia"/>
                <w:color w:val="000000"/>
              </w:rPr>
              <w:t>财经政法</w:t>
            </w:r>
            <w:proofErr w:type="gramEnd"/>
            <w:r w:rsidRPr="008B3A89">
              <w:rPr>
                <w:rFonts w:hint="eastAsia"/>
                <w:color w:val="000000"/>
              </w:rPr>
              <w:t>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10</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商务服务</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北京大学、北京师范大学、中国人民大学、中国政法大学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11</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金融服务</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北京大学、中国人民大学、对外经济贸易大学、复旦大学、清华大学、南开大学</w:t>
            </w:r>
          </w:p>
        </w:tc>
      </w:tr>
      <w:tr w:rsidR="00CF15AA" w:rsidRPr="006A3ED9" w:rsidTr="008B3A89">
        <w:trPr>
          <w:trHeight w:val="270"/>
        </w:trPr>
        <w:tc>
          <w:tcPr>
            <w:tcW w:w="704" w:type="dxa"/>
            <w:tcBorders>
              <w:left w:val="nil"/>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12</w:t>
            </w:r>
          </w:p>
        </w:tc>
        <w:tc>
          <w:tcPr>
            <w:tcW w:w="2131" w:type="dxa"/>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文化和旅游</w:t>
            </w:r>
          </w:p>
        </w:tc>
        <w:tc>
          <w:tcPr>
            <w:tcW w:w="5954" w:type="dxa"/>
            <w:tcBorders>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中国传媒大学、北京师范大学、北京大学、清华大学</w:t>
            </w:r>
          </w:p>
        </w:tc>
      </w:tr>
      <w:tr w:rsidR="00CF15AA" w:rsidRPr="006A3ED9" w:rsidTr="008B3A89">
        <w:trPr>
          <w:trHeight w:val="270"/>
        </w:trPr>
        <w:tc>
          <w:tcPr>
            <w:tcW w:w="704" w:type="dxa"/>
            <w:tcBorders>
              <w:left w:val="nil"/>
              <w:bottom w:val="single" w:sz="4" w:space="0" w:color="auto"/>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lastRenderedPageBreak/>
              <w:t>13</w:t>
            </w:r>
          </w:p>
        </w:tc>
        <w:tc>
          <w:tcPr>
            <w:tcW w:w="2131" w:type="dxa"/>
            <w:tcBorders>
              <w:bottom w:val="single" w:sz="4" w:space="0" w:color="auto"/>
            </w:tcBorders>
            <w:shd w:val="clear" w:color="auto" w:fill="auto"/>
            <w:noWrap/>
            <w:vAlign w:val="center"/>
            <w:hideMark/>
          </w:tcPr>
          <w:p w:rsidR="00CF15AA" w:rsidRPr="008B3A89" w:rsidRDefault="00CF15AA" w:rsidP="00CF15AA">
            <w:pPr>
              <w:adjustRightInd w:val="0"/>
              <w:snapToGrid w:val="0"/>
              <w:jc w:val="center"/>
              <w:rPr>
                <w:rFonts w:hint="eastAsia"/>
                <w:color w:val="000000"/>
              </w:rPr>
            </w:pPr>
            <w:r w:rsidRPr="008B3A89">
              <w:rPr>
                <w:rFonts w:hint="eastAsia"/>
                <w:color w:val="000000"/>
              </w:rPr>
              <w:t>教育</w:t>
            </w:r>
          </w:p>
        </w:tc>
        <w:tc>
          <w:tcPr>
            <w:tcW w:w="5954" w:type="dxa"/>
            <w:tcBorders>
              <w:bottom w:val="single" w:sz="4" w:space="0" w:color="auto"/>
              <w:right w:val="nil"/>
            </w:tcBorders>
            <w:shd w:val="clear" w:color="auto" w:fill="auto"/>
            <w:noWrap/>
            <w:vAlign w:val="center"/>
            <w:hideMark/>
          </w:tcPr>
          <w:p w:rsidR="00CF15AA" w:rsidRPr="008B3A89" w:rsidRDefault="00CF15AA" w:rsidP="00CF15AA">
            <w:pPr>
              <w:adjustRightInd w:val="0"/>
              <w:snapToGrid w:val="0"/>
              <w:rPr>
                <w:rFonts w:hint="eastAsia"/>
                <w:color w:val="000000"/>
              </w:rPr>
            </w:pPr>
            <w:r w:rsidRPr="008B3A89">
              <w:rPr>
                <w:rFonts w:hint="eastAsia"/>
                <w:color w:val="000000"/>
              </w:rPr>
              <w:t>北京师范大学、首都师范大学、华东师范大学、华中师范大学、北京大学、东北师范大学</w:t>
            </w:r>
          </w:p>
        </w:tc>
      </w:tr>
      <w:tr w:rsidR="00CF15AA" w:rsidRPr="006A3ED9" w:rsidTr="008B3A89">
        <w:trPr>
          <w:trHeight w:val="270"/>
        </w:trPr>
        <w:tc>
          <w:tcPr>
            <w:tcW w:w="704" w:type="dxa"/>
            <w:tcBorders>
              <w:left w:val="nil"/>
              <w:bottom w:val="single" w:sz="12" w:space="0" w:color="auto"/>
            </w:tcBorders>
            <w:shd w:val="clear" w:color="auto" w:fill="auto"/>
            <w:noWrap/>
            <w:vAlign w:val="center"/>
            <w:hideMark/>
          </w:tcPr>
          <w:p w:rsidR="00CF15AA" w:rsidRPr="008B3A89" w:rsidRDefault="00CF15AA" w:rsidP="00CF15AA">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14</w:t>
            </w:r>
          </w:p>
        </w:tc>
        <w:tc>
          <w:tcPr>
            <w:tcW w:w="2131" w:type="dxa"/>
            <w:tcBorders>
              <w:bottom w:val="single" w:sz="12" w:space="0" w:color="auto"/>
            </w:tcBorders>
            <w:shd w:val="clear" w:color="auto" w:fill="auto"/>
            <w:noWrap/>
            <w:vAlign w:val="center"/>
            <w:hideMark/>
          </w:tcPr>
          <w:p w:rsidR="00CF15AA" w:rsidRPr="008B3A89" w:rsidRDefault="00CF15AA" w:rsidP="00CF15AA">
            <w:pPr>
              <w:adjustRightInd w:val="0"/>
              <w:snapToGrid w:val="0"/>
              <w:jc w:val="center"/>
              <w:divId w:val="1137802257"/>
              <w:rPr>
                <w:rFonts w:hint="eastAsia"/>
                <w:color w:val="000000"/>
              </w:rPr>
            </w:pPr>
            <w:r w:rsidRPr="008B3A89">
              <w:rPr>
                <w:rFonts w:hint="eastAsia"/>
                <w:color w:val="000000"/>
              </w:rPr>
              <w:t>医疗和养老</w:t>
            </w:r>
          </w:p>
        </w:tc>
        <w:tc>
          <w:tcPr>
            <w:tcW w:w="5954" w:type="dxa"/>
            <w:tcBorders>
              <w:bottom w:val="single" w:sz="12" w:space="0" w:color="auto"/>
              <w:right w:val="nil"/>
            </w:tcBorders>
            <w:shd w:val="clear" w:color="auto" w:fill="auto"/>
            <w:noWrap/>
            <w:vAlign w:val="center"/>
            <w:hideMark/>
          </w:tcPr>
          <w:p w:rsidR="00CF15AA" w:rsidRPr="008B3A89" w:rsidRDefault="00CF15AA" w:rsidP="00CF15AA">
            <w:pPr>
              <w:adjustRightInd w:val="0"/>
              <w:snapToGrid w:val="0"/>
              <w:divId w:val="1137802257"/>
              <w:rPr>
                <w:rFonts w:hint="eastAsia"/>
                <w:color w:val="000000"/>
              </w:rPr>
            </w:pPr>
            <w:r w:rsidRPr="008B3A89">
              <w:rPr>
                <w:rFonts w:hint="eastAsia"/>
                <w:color w:val="000000"/>
              </w:rPr>
              <w:t>北京大学、四川大学、北京协和医学院、中山大学、中南大学</w:t>
            </w:r>
          </w:p>
        </w:tc>
      </w:tr>
    </w:tbl>
    <w:p w:rsidR="00EF5B26" w:rsidRPr="00FB5A8F" w:rsidRDefault="00EF5B26" w:rsidP="00FB5A8F">
      <w:pPr>
        <w:pStyle w:val="a3"/>
        <w:adjustRightInd w:val="0"/>
        <w:snapToGrid w:val="0"/>
        <w:spacing w:line="240" w:lineRule="auto"/>
        <w:ind w:firstLineChars="0" w:firstLine="0"/>
        <w:rPr>
          <w:rStyle w:val="20"/>
          <w:rFonts w:hint="eastAsia"/>
          <w:b/>
          <w:bCs/>
          <w:sz w:val="21"/>
        </w:rPr>
      </w:pPr>
    </w:p>
    <w:p w:rsidR="00CF15AA" w:rsidRPr="00AE04EB" w:rsidRDefault="00CF15AA" w:rsidP="00AE04EB">
      <w:pPr>
        <w:pStyle w:val="a3"/>
        <w:ind w:firstLine="616"/>
      </w:pPr>
      <w:r w:rsidRPr="00CF15AA">
        <w:rPr>
          <w:rFonts w:hint="eastAsia"/>
        </w:rPr>
        <w:t>基于对</w:t>
      </w:r>
      <w:r w:rsidRPr="00CF15AA">
        <w:t>14</w:t>
      </w:r>
      <w:r w:rsidRPr="00CF15AA">
        <w:t>个重点产业的适配院校系统评估结果，以涉及产业数量</w:t>
      </w:r>
      <w:r w:rsidRPr="00CF15AA">
        <w:t>9</w:t>
      </w:r>
      <w:r w:rsidRPr="00CF15AA">
        <w:t>个及以上、综合适配指数合计</w:t>
      </w:r>
      <w:r w:rsidRPr="00CF15AA">
        <w:t>400</w:t>
      </w:r>
      <w:r w:rsidRPr="00CF15AA">
        <w:t>分以上为标准，共筛选出</w:t>
      </w:r>
      <w:r w:rsidRPr="00CF15AA">
        <w:t>28</w:t>
      </w:r>
      <w:r w:rsidRPr="00CF15AA">
        <w:t>所双一流高校具备较强人才供给能力，构成朝阳</w:t>
      </w:r>
      <w:proofErr w:type="gramStart"/>
      <w:r w:rsidRPr="00CF15AA">
        <w:t>区产业</w:t>
      </w:r>
      <w:proofErr w:type="gramEnd"/>
      <w:r w:rsidRPr="00CF15AA">
        <w:t>人才引进的核心院校矩阵。</w:t>
      </w:r>
      <w:r w:rsidR="007037D5">
        <w:rPr>
          <w:rFonts w:hint="eastAsia"/>
        </w:rPr>
        <w:t>其中，</w:t>
      </w:r>
      <w:r w:rsidR="007037D5" w:rsidRPr="007037D5">
        <w:rPr>
          <w:rFonts w:hint="eastAsia"/>
        </w:rPr>
        <w:t>清华大学、浙江大学实现</w:t>
      </w:r>
      <w:r w:rsidR="007037D5" w:rsidRPr="007037D5">
        <w:rPr>
          <w:rFonts w:hint="eastAsia"/>
        </w:rPr>
        <w:t>14</w:t>
      </w:r>
      <w:r w:rsidR="007037D5" w:rsidRPr="007037D5">
        <w:rPr>
          <w:rFonts w:hint="eastAsia"/>
        </w:rPr>
        <w:t>个重点产业全覆盖，北京大学、上海交通大学、吉林大学、山东大学各覆盖</w:t>
      </w:r>
      <w:r w:rsidR="007037D5" w:rsidRPr="007037D5">
        <w:rPr>
          <w:rFonts w:hint="eastAsia"/>
        </w:rPr>
        <w:t>13</w:t>
      </w:r>
      <w:r w:rsidR="007037D5" w:rsidRPr="007037D5">
        <w:rPr>
          <w:rFonts w:hint="eastAsia"/>
        </w:rPr>
        <w:t>个产业。北京本地共有北京理工大学、北京航空航天大学、北京交通大学、北京科技大学、北京工业大学等</w:t>
      </w:r>
      <w:r w:rsidR="007037D5" w:rsidRPr="007037D5">
        <w:rPr>
          <w:rFonts w:hint="eastAsia"/>
        </w:rPr>
        <w:t>8</w:t>
      </w:r>
      <w:r w:rsidR="007037D5" w:rsidRPr="007037D5">
        <w:rPr>
          <w:rFonts w:hint="eastAsia"/>
        </w:rPr>
        <w:t>所高校进入核心矩阵，凭借较高留京意愿成为人才引进的稳定基本盘。京外院校中，吉林大学、山东大学、西安交通大学、华中科技大学等在智能制造、智能网联汽车、新材料等领域优势显著，是重点产业全方位合作的关键对象。</w:t>
      </w:r>
    </w:p>
    <w:p w:rsidR="00CF15AA" w:rsidRDefault="00CF15AA" w:rsidP="00AE04EB">
      <w:pPr>
        <w:jc w:val="center"/>
        <w:rPr>
          <w:rFonts w:ascii="Times New Roman" w:eastAsia="黑体" w:hAnsi="Times New Roman" w:cs="Times New Roman"/>
          <w:sz w:val="24"/>
          <w:szCs w:val="30"/>
        </w:rPr>
      </w:pPr>
      <w:r>
        <w:rPr>
          <w:rFonts w:ascii="Times New Roman" w:eastAsia="黑体" w:hAnsi="Times New Roman" w:cs="Times New Roman"/>
          <w:sz w:val="24"/>
          <w:szCs w:val="30"/>
        </w:rPr>
        <w:t>表</w:t>
      </w:r>
      <w:r w:rsidR="00AE04EB">
        <w:rPr>
          <w:rFonts w:ascii="Times New Roman" w:eastAsia="黑体" w:hAnsi="Times New Roman" w:cs="Times New Roman"/>
          <w:sz w:val="24"/>
          <w:szCs w:val="30"/>
        </w:rPr>
        <w:t>3</w:t>
      </w:r>
      <w:r>
        <w:rPr>
          <w:rFonts w:ascii="Times New Roman" w:eastAsia="黑体" w:hAnsi="Times New Roman" w:cs="Times New Roman"/>
          <w:sz w:val="24"/>
          <w:szCs w:val="30"/>
        </w:rPr>
        <w:t xml:space="preserve"> </w:t>
      </w:r>
      <w:r>
        <w:rPr>
          <w:rFonts w:ascii="Times New Roman" w:eastAsia="黑体" w:hAnsi="Times New Roman" w:cs="Times New Roman"/>
          <w:sz w:val="24"/>
          <w:szCs w:val="30"/>
        </w:rPr>
        <w:t>朝阳区重点产业人才引进</w:t>
      </w:r>
      <w:r>
        <w:rPr>
          <w:rFonts w:ascii="Times New Roman" w:eastAsia="黑体" w:hAnsi="Times New Roman" w:cs="Times New Roman" w:hint="eastAsia"/>
          <w:sz w:val="24"/>
          <w:szCs w:val="30"/>
        </w:rPr>
        <w:t>双一流高校核心院校矩阵</w:t>
      </w:r>
    </w:p>
    <w:tbl>
      <w:tblPr>
        <w:tblStyle w:val="21"/>
        <w:tblW w:w="5547" w:type="pct"/>
        <w:jc w:val="center"/>
        <w:tblBorders>
          <w:top w:val="single" w:sz="4" w:space="0" w:color="7F7F7F" w:themeColor="text1" w:themeTint="80"/>
          <w:bottom w:val="single" w:sz="4" w:space="0" w:color="7F7F7F" w:themeColor="text1" w:themeTint="80"/>
        </w:tblBorders>
        <w:tblLayout w:type="fixed"/>
        <w:tblCellMar>
          <w:top w:w="113" w:type="dxa"/>
          <w:bottom w:w="113" w:type="dxa"/>
        </w:tblCellMar>
        <w:tblLook w:val="04A0" w:firstRow="1" w:lastRow="0" w:firstColumn="1" w:lastColumn="0" w:noHBand="0" w:noVBand="1"/>
      </w:tblPr>
      <w:tblGrid>
        <w:gridCol w:w="682"/>
        <w:gridCol w:w="2190"/>
        <w:gridCol w:w="1282"/>
        <w:gridCol w:w="1282"/>
        <w:gridCol w:w="4377"/>
      </w:tblGrid>
      <w:tr w:rsidR="00CF15AA" w:rsidTr="008B3A89">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12" w:space="0" w:color="auto"/>
              <w:bottom w:val="single" w:sz="4" w:space="0" w:color="7F7F7F" w:themeColor="text1" w:themeTint="80"/>
              <w:right w:val="single" w:sz="4" w:space="0" w:color="auto"/>
            </w:tcBorders>
            <w:noWrap/>
            <w:vAlign w:val="center"/>
          </w:tcPr>
          <w:p w:rsidR="00CF15AA" w:rsidRPr="008B3A89" w:rsidRDefault="00CF15AA" w:rsidP="00AE04EB">
            <w:pPr>
              <w:widowControl/>
              <w:adjustRightInd w:val="0"/>
              <w:snapToGrid w:val="0"/>
              <w:jc w:val="center"/>
              <w:rPr>
                <w:rFonts w:ascii="Times New Roman" w:eastAsia="宋体" w:hAnsi="Times New Roman" w:cs="Times New Roman"/>
                <w:b w:val="0"/>
                <w:bCs w:val="0"/>
                <w:color w:val="000000"/>
                <w:szCs w:val="21"/>
              </w:rPr>
            </w:pPr>
            <w:r w:rsidRPr="008B3A89">
              <w:rPr>
                <w:rFonts w:ascii="Times New Roman" w:eastAsia="宋体" w:hAnsi="Times New Roman" w:cs="Times New Roman" w:hint="eastAsia"/>
                <w:color w:val="000000"/>
                <w:szCs w:val="21"/>
              </w:rPr>
              <w:t>序号</w:t>
            </w:r>
          </w:p>
        </w:tc>
        <w:tc>
          <w:tcPr>
            <w:tcW w:w="1116" w:type="pct"/>
            <w:tcBorders>
              <w:top w:val="single" w:sz="12" w:space="0" w:color="auto"/>
              <w:left w:val="single" w:sz="4" w:space="0" w:color="auto"/>
              <w:bottom w:val="single" w:sz="4" w:space="0" w:color="auto"/>
            </w:tcBorders>
            <w:noWrap/>
            <w:vAlign w:val="center"/>
          </w:tcPr>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hint="eastAsia"/>
                <w:color w:val="000000"/>
                <w:szCs w:val="21"/>
              </w:rPr>
              <w:t>院校</w:t>
            </w:r>
            <w:r w:rsidRPr="008B3A89">
              <w:rPr>
                <w:rFonts w:ascii="Times New Roman" w:eastAsia="宋体" w:hAnsi="Times New Roman" w:cs="Times New Roman"/>
                <w:color w:val="000000"/>
                <w:szCs w:val="21"/>
              </w:rPr>
              <w:t>名称</w:t>
            </w:r>
          </w:p>
        </w:tc>
        <w:tc>
          <w:tcPr>
            <w:tcW w:w="653" w:type="pct"/>
            <w:tcBorders>
              <w:top w:val="single" w:sz="12" w:space="0" w:color="auto"/>
              <w:left w:val="single" w:sz="4" w:space="0" w:color="auto"/>
              <w:bottom w:val="single" w:sz="4" w:space="0" w:color="auto"/>
            </w:tcBorders>
            <w:vAlign w:val="center"/>
          </w:tcPr>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color w:val="000000"/>
                <w:szCs w:val="21"/>
              </w:rPr>
              <w:t>涉及产业</w:t>
            </w:r>
          </w:p>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color w:val="000000"/>
                <w:szCs w:val="21"/>
              </w:rPr>
              <w:t>数量合计</w:t>
            </w:r>
          </w:p>
        </w:tc>
        <w:tc>
          <w:tcPr>
            <w:tcW w:w="653" w:type="pct"/>
            <w:tcBorders>
              <w:top w:val="single" w:sz="12" w:space="0" w:color="auto"/>
              <w:left w:val="single" w:sz="4" w:space="0" w:color="auto"/>
              <w:bottom w:val="single" w:sz="4" w:space="0" w:color="auto"/>
            </w:tcBorders>
            <w:vAlign w:val="center"/>
          </w:tcPr>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color w:val="000000"/>
                <w:szCs w:val="21"/>
              </w:rPr>
              <w:t>综合适配</w:t>
            </w:r>
          </w:p>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color w:val="000000"/>
                <w:szCs w:val="21"/>
              </w:rPr>
              <w:t>指数合计</w:t>
            </w:r>
          </w:p>
        </w:tc>
        <w:tc>
          <w:tcPr>
            <w:tcW w:w="2230" w:type="pct"/>
            <w:tcBorders>
              <w:top w:val="single" w:sz="12" w:space="0" w:color="auto"/>
              <w:left w:val="single" w:sz="4" w:space="0" w:color="auto"/>
              <w:bottom w:val="single" w:sz="4" w:space="0" w:color="auto"/>
            </w:tcBorders>
            <w:vAlign w:val="center"/>
          </w:tcPr>
          <w:p w:rsidR="00CF15AA" w:rsidRPr="008B3A89" w:rsidRDefault="00CF15AA" w:rsidP="00AE04EB">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sidRPr="008B3A89">
              <w:rPr>
                <w:rFonts w:ascii="Times New Roman" w:eastAsia="宋体" w:hAnsi="Times New Roman" w:cs="Times New Roman" w:hint="eastAsia"/>
                <w:color w:val="000000"/>
                <w:szCs w:val="21"/>
              </w:rPr>
              <w:t>重点覆盖产业</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12"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w:t>
            </w:r>
          </w:p>
        </w:tc>
        <w:tc>
          <w:tcPr>
            <w:tcW w:w="1116" w:type="pct"/>
            <w:tcBorders>
              <w:top w:val="single" w:sz="12" w:space="0" w:color="auto"/>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清华大学</w:t>
            </w:r>
          </w:p>
        </w:tc>
        <w:tc>
          <w:tcPr>
            <w:tcW w:w="653" w:type="pct"/>
            <w:tcBorders>
              <w:top w:val="single" w:sz="12" w:space="0" w:color="auto"/>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14</w:t>
            </w:r>
          </w:p>
        </w:tc>
        <w:tc>
          <w:tcPr>
            <w:tcW w:w="653" w:type="pct"/>
            <w:tcBorders>
              <w:top w:val="single" w:sz="12" w:space="0" w:color="auto"/>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885</w:t>
            </w:r>
          </w:p>
        </w:tc>
        <w:tc>
          <w:tcPr>
            <w:tcW w:w="2230" w:type="pct"/>
            <w:tcBorders>
              <w:top w:val="single" w:sz="12" w:space="0" w:color="auto"/>
              <w:left w:val="single" w:sz="4" w:space="0" w:color="auto"/>
              <w:bottom w:val="single" w:sz="4" w:space="0" w:color="7F7F7F" w:themeColor="text1" w:themeTint="80"/>
            </w:tcBorders>
            <w:noWrap/>
            <w:vAlign w:val="center"/>
          </w:tcPr>
          <w:p w:rsidR="00CF15AA" w:rsidRPr="008B3A89" w:rsidRDefault="00CF15AA" w:rsidP="00AE04EB">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集成电路、人工智能、智能制造、金融科技等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浙江大学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14</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796</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人工智能、集成电路、智能制造、金融服务等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3</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13</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845</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金融服务、人工智能、医药健康、科技服务等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4</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上海交通大学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13</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733</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集成电路、人工智能、智能制造、医药健康等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5</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吉林大学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13</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656</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集成电路、新材料、医药健康等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6</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山东大学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13</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644</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集成电路、医药健康、新材料等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lastRenderedPageBreak/>
              <w:t>7</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北京理工大学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12</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690</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集成电路、智能制造、智能网联汽车等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8</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华中科技大学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12</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612</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集成电路、智能制造、智能网联汽车等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9</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北京航空航天大学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11</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608</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智能制造、智能网联汽车、人工智能等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10</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西安交通大学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11</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567</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智能制造、智能网联汽车、新材料等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11</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复旦大学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11</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565</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金融服务、科技服务、医药健康等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12</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中山大学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11</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549</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金融服务、科技服务、医药健康等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13</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武汉大学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11</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543</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金融服务、科技服务、人工智能等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14</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北京工业大学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553</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智能制造、智能网联汽车、新材料等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15</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天津大学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541</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绿色能源、新材料、智能制造等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16</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北京交通大学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537</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科技服务、商务服务、智能制造等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17</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北京科技大学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520</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新材料、智能制造、绿色能源等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18</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东南大学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509</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集成电路、智能制造、新一代信息技术等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19</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南开大学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502</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金融服务、科技服务、商务服务等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20</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四川大学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495</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医药健康、新材料、科技服务等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21</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重庆大学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485</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智能制造、智能网联汽车、新材料等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22</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厦门大学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10</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484</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金融服务、科技服务、商务服务等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23</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中国科学院大学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532</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人工智能、绿色能源、科技服务等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24</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哈尔滨工业大学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508</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智能制造、智能网联汽车、新材料等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25</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大连理工大学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463</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新材料、智能制造、绿色能源等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26</w:t>
            </w:r>
          </w:p>
        </w:tc>
        <w:tc>
          <w:tcPr>
            <w:tcW w:w="1116" w:type="pct"/>
            <w:tcBorders>
              <w:left w:val="single" w:sz="4"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上海大学</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left w:val="single" w:sz="4"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443</w:t>
            </w:r>
          </w:p>
        </w:tc>
        <w:tc>
          <w:tcPr>
            <w:tcW w:w="2230" w:type="pct"/>
            <w:tcBorders>
              <w:left w:val="single" w:sz="4"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新材料、智能制造、文化和旅游等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top w:val="single" w:sz="4" w:space="0" w:color="7F7F7F" w:themeColor="text1" w:themeTint="80"/>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lastRenderedPageBreak/>
              <w:t>27</w:t>
            </w:r>
          </w:p>
        </w:tc>
        <w:tc>
          <w:tcPr>
            <w:tcW w:w="1116"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同济大学</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427</w:t>
            </w:r>
          </w:p>
        </w:tc>
        <w:tc>
          <w:tcPr>
            <w:tcW w:w="2230" w:type="pct"/>
            <w:tcBorders>
              <w:top w:val="single" w:sz="4" w:space="0" w:color="7F7F7F" w:themeColor="text1" w:themeTint="80"/>
              <w:left w:val="single" w:sz="4" w:space="0" w:color="auto"/>
              <w:bottom w:val="single" w:sz="4" w:space="0" w:color="7F7F7F" w:themeColor="text1" w:themeTint="80"/>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智能制造、智能网联汽车、绿色能源等</w:t>
            </w:r>
          </w:p>
        </w:tc>
      </w:tr>
      <w:tr w:rsidR="00CF15AA"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348" w:type="pct"/>
            <w:tcBorders>
              <w:bottom w:val="single" w:sz="12" w:space="0" w:color="auto"/>
              <w:right w:val="single" w:sz="4" w:space="0" w:color="auto"/>
            </w:tcBorders>
            <w:noWrap/>
            <w:vAlign w:val="center"/>
          </w:tcPr>
          <w:p w:rsidR="00CF15AA" w:rsidRPr="008B3A89" w:rsidRDefault="00CF15AA" w:rsidP="00AE04EB">
            <w:pPr>
              <w:adjustRightInd w:val="0"/>
              <w:snapToGrid w:val="0"/>
              <w:jc w:val="center"/>
              <w:rPr>
                <w:rFonts w:ascii="Times New Roman" w:eastAsia="宋体" w:hAnsi="Times New Roman" w:cs="Times New Roman"/>
                <w:bCs w:val="0"/>
                <w:szCs w:val="21"/>
              </w:rPr>
            </w:pPr>
            <w:r w:rsidRPr="008B3A89">
              <w:rPr>
                <w:rFonts w:ascii="Times New Roman" w:eastAsia="宋体" w:hAnsi="Times New Roman" w:cs="Times New Roman"/>
                <w:b w:val="0"/>
                <w:szCs w:val="21"/>
              </w:rPr>
              <w:t>28</w:t>
            </w:r>
          </w:p>
        </w:tc>
        <w:tc>
          <w:tcPr>
            <w:tcW w:w="1116" w:type="pct"/>
            <w:tcBorders>
              <w:left w:val="single" w:sz="4" w:space="0" w:color="auto"/>
              <w:bottom w:val="single" w:sz="12" w:space="0" w:color="auto"/>
              <w:right w:val="single" w:sz="4" w:space="0" w:color="auto"/>
            </w:tcBorders>
            <w:noWrap/>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湖南大学</w:t>
            </w:r>
          </w:p>
        </w:tc>
        <w:tc>
          <w:tcPr>
            <w:tcW w:w="653" w:type="pct"/>
            <w:tcBorders>
              <w:left w:val="single" w:sz="4" w:space="0" w:color="auto"/>
              <w:bottom w:val="single" w:sz="12"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9</w:t>
            </w:r>
          </w:p>
        </w:tc>
        <w:tc>
          <w:tcPr>
            <w:tcW w:w="653" w:type="pct"/>
            <w:tcBorders>
              <w:left w:val="single" w:sz="4" w:space="0" w:color="auto"/>
              <w:bottom w:val="single" w:sz="12" w:space="0" w:color="auto"/>
              <w:right w:val="single" w:sz="4" w:space="0" w:color="auto"/>
            </w:tcBorders>
            <w:vAlign w:val="center"/>
          </w:tcPr>
          <w:p w:rsidR="00CF15AA" w:rsidRPr="008B3A89" w:rsidRDefault="00CF15AA" w:rsidP="00AE04EB">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421</w:t>
            </w:r>
          </w:p>
        </w:tc>
        <w:tc>
          <w:tcPr>
            <w:tcW w:w="2230" w:type="pct"/>
            <w:tcBorders>
              <w:left w:val="single" w:sz="4" w:space="0" w:color="auto"/>
              <w:bottom w:val="single" w:sz="12" w:space="0" w:color="auto"/>
            </w:tcBorders>
            <w:noWrap/>
            <w:vAlign w:val="center"/>
          </w:tcPr>
          <w:p w:rsidR="00CF15AA" w:rsidRPr="008B3A89" w:rsidRDefault="00CF15AA" w:rsidP="00AE04EB">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8B3A89">
              <w:rPr>
                <w:rFonts w:ascii="Times New Roman" w:eastAsia="宋体" w:hAnsi="Times New Roman" w:cs="Times New Roman"/>
                <w:szCs w:val="21"/>
              </w:rPr>
              <w:t>智能制造、新材料、智能网联汽车等</w:t>
            </w:r>
          </w:p>
        </w:tc>
      </w:tr>
    </w:tbl>
    <w:p w:rsidR="00EF5B26" w:rsidRPr="00AE04EB" w:rsidRDefault="00CF15AA" w:rsidP="00BF2401">
      <w:pPr>
        <w:pStyle w:val="a3"/>
        <w:adjustRightInd w:val="0"/>
        <w:snapToGrid w:val="0"/>
        <w:spacing w:beforeLines="10" w:before="57" w:line="240" w:lineRule="auto"/>
        <w:ind w:firstLineChars="0" w:firstLine="0"/>
        <w:rPr>
          <w:rFonts w:hint="eastAsia"/>
          <w:sz w:val="21"/>
        </w:rPr>
      </w:pPr>
      <w:r w:rsidRPr="00AE04EB">
        <w:rPr>
          <w:rFonts w:hint="eastAsia"/>
          <w:sz w:val="21"/>
        </w:rPr>
        <w:t>注：</w:t>
      </w:r>
      <w:r w:rsidRPr="00AE04EB">
        <w:rPr>
          <w:sz w:val="21"/>
        </w:rPr>
        <w:t>综合适配指数</w:t>
      </w:r>
      <w:r w:rsidRPr="00AE04EB">
        <w:rPr>
          <w:rFonts w:hint="eastAsia"/>
          <w:sz w:val="21"/>
        </w:rPr>
        <w:t>合计</w:t>
      </w:r>
      <w:r w:rsidRPr="00AE04EB">
        <w:rPr>
          <w:sz w:val="21"/>
        </w:rPr>
        <w:t>为该</w:t>
      </w:r>
      <w:r w:rsidRPr="00AE04EB">
        <w:rPr>
          <w:rFonts w:hint="eastAsia"/>
          <w:sz w:val="21"/>
        </w:rPr>
        <w:t>院校</w:t>
      </w:r>
      <w:r w:rsidRPr="00AE04EB">
        <w:rPr>
          <w:sz w:val="21"/>
        </w:rPr>
        <w:t>在各产业得分的汇总值，反映</w:t>
      </w:r>
      <w:r w:rsidRPr="00AE04EB">
        <w:rPr>
          <w:rFonts w:hint="eastAsia"/>
          <w:sz w:val="21"/>
        </w:rPr>
        <w:t>院校</w:t>
      </w:r>
      <w:r w:rsidRPr="00AE04EB">
        <w:rPr>
          <w:sz w:val="21"/>
        </w:rPr>
        <w:t>在朝阳区重点产业中的整体人才供给能力；涉及产业数量</w:t>
      </w:r>
      <w:proofErr w:type="gramStart"/>
      <w:r w:rsidRPr="00AE04EB">
        <w:rPr>
          <w:rFonts w:hint="eastAsia"/>
          <w:sz w:val="21"/>
        </w:rPr>
        <w:t>合计</w:t>
      </w:r>
      <w:r w:rsidRPr="00AE04EB">
        <w:rPr>
          <w:sz w:val="21"/>
        </w:rPr>
        <w:t>指</w:t>
      </w:r>
      <w:proofErr w:type="gramEnd"/>
      <w:r w:rsidRPr="00AE04EB">
        <w:rPr>
          <w:sz w:val="21"/>
        </w:rPr>
        <w:t>该</w:t>
      </w:r>
      <w:r w:rsidRPr="00AE04EB">
        <w:rPr>
          <w:rFonts w:hint="eastAsia"/>
          <w:sz w:val="21"/>
        </w:rPr>
        <w:t>院校</w:t>
      </w:r>
      <w:r w:rsidRPr="00AE04EB">
        <w:rPr>
          <w:sz w:val="21"/>
        </w:rPr>
        <w:t>在</w:t>
      </w:r>
      <w:r w:rsidRPr="00AE04EB">
        <w:rPr>
          <w:sz w:val="21"/>
        </w:rPr>
        <w:t>14</w:t>
      </w:r>
      <w:r w:rsidRPr="00AE04EB">
        <w:rPr>
          <w:sz w:val="21"/>
        </w:rPr>
        <w:t>个产业中被列为推荐</w:t>
      </w:r>
      <w:r w:rsidRPr="00AE04EB">
        <w:rPr>
          <w:rFonts w:hint="eastAsia"/>
          <w:sz w:val="21"/>
        </w:rPr>
        <w:t>院校</w:t>
      </w:r>
      <w:r w:rsidRPr="00AE04EB">
        <w:rPr>
          <w:sz w:val="21"/>
        </w:rPr>
        <w:t>的数量。</w:t>
      </w:r>
    </w:p>
    <w:p w:rsidR="00EF5B26" w:rsidRPr="00BF2401" w:rsidRDefault="00EF5B26" w:rsidP="00BF2401">
      <w:pPr>
        <w:pStyle w:val="a3"/>
        <w:adjustRightInd w:val="0"/>
        <w:snapToGrid w:val="0"/>
        <w:spacing w:line="240" w:lineRule="auto"/>
        <w:ind w:firstLineChars="0" w:firstLine="0"/>
        <w:rPr>
          <w:rStyle w:val="20"/>
          <w:rFonts w:hint="eastAsia"/>
          <w:b/>
          <w:bCs/>
          <w:sz w:val="21"/>
        </w:rPr>
      </w:pPr>
    </w:p>
    <w:p w:rsidR="00AE04EB" w:rsidRDefault="00AE04EB" w:rsidP="00AE04EB">
      <w:pPr>
        <w:pStyle w:val="1"/>
        <w:ind w:firstLineChars="0" w:firstLine="640"/>
      </w:pPr>
      <w:r>
        <w:rPr>
          <w:rFonts w:hint="eastAsia"/>
        </w:rPr>
        <w:t>五、</w:t>
      </w:r>
      <w:r w:rsidRPr="00CF15AA">
        <w:rPr>
          <w:rFonts w:hint="eastAsia"/>
        </w:rPr>
        <w:t>重点产业</w:t>
      </w:r>
      <w:r w:rsidRPr="00AE04EB">
        <w:rPr>
          <w:rFonts w:hint="eastAsia"/>
        </w:rPr>
        <w:t>境外</w:t>
      </w:r>
      <w:r>
        <w:rPr>
          <w:rFonts w:hint="eastAsia"/>
        </w:rPr>
        <w:t>适配</w:t>
      </w:r>
      <w:r w:rsidRPr="00AE04EB">
        <w:rPr>
          <w:rFonts w:hint="eastAsia"/>
        </w:rPr>
        <w:t>高校</w:t>
      </w:r>
      <w:r w:rsidRPr="00CF15AA">
        <w:rPr>
          <w:rFonts w:hint="eastAsia"/>
        </w:rPr>
        <w:t>推荐</w:t>
      </w:r>
    </w:p>
    <w:p w:rsidR="00AE04EB" w:rsidRPr="00C772B6" w:rsidRDefault="00AE04EB" w:rsidP="00AE04EB">
      <w:pPr>
        <w:pStyle w:val="a3"/>
        <w:ind w:firstLine="616"/>
        <w:rPr>
          <w:rFonts w:hint="eastAsia"/>
        </w:rPr>
      </w:pPr>
      <w:r w:rsidRPr="00AE04EB">
        <w:rPr>
          <w:rFonts w:hint="eastAsia"/>
        </w:rPr>
        <w:t>本报告从</w:t>
      </w:r>
      <w:r w:rsidRPr="00AE04EB">
        <w:rPr>
          <w:rFonts w:hint="eastAsia"/>
        </w:rPr>
        <w:t>QS</w:t>
      </w:r>
      <w:r w:rsidRPr="00AE04EB">
        <w:rPr>
          <w:rFonts w:hint="eastAsia"/>
        </w:rPr>
        <w:t>排名、留学生供给规模、岗位就业意愿、行业就业意愿、在京就业意愿等维度，对境外</w:t>
      </w:r>
      <w:r w:rsidRPr="00AE04EB">
        <w:rPr>
          <w:rFonts w:hint="eastAsia"/>
        </w:rPr>
        <w:t>QS</w:t>
      </w:r>
      <w:r w:rsidRPr="00AE04EB">
        <w:rPr>
          <w:rFonts w:hint="eastAsia"/>
        </w:rPr>
        <w:t>前</w:t>
      </w:r>
      <w:r w:rsidRPr="00AE04EB">
        <w:rPr>
          <w:rFonts w:hint="eastAsia"/>
        </w:rPr>
        <w:t>200</w:t>
      </w:r>
      <w:r w:rsidRPr="00AE04EB">
        <w:rPr>
          <w:rFonts w:hint="eastAsia"/>
        </w:rPr>
        <w:t>院校进行综合评估。各重点产业综合适配度较高的院校如下：</w:t>
      </w:r>
    </w:p>
    <w:p w:rsidR="00AE04EB" w:rsidRPr="006A3ED9" w:rsidRDefault="00AE04EB" w:rsidP="00AE04EB">
      <w:pPr>
        <w:jc w:val="center"/>
        <w:rPr>
          <w:rFonts w:ascii="Times New Roman" w:eastAsia="黑体" w:hAnsi="Times New Roman" w:cs="Times New Roman" w:hint="eastAsia"/>
          <w:sz w:val="24"/>
          <w:szCs w:val="30"/>
        </w:rPr>
      </w:pPr>
      <w:r w:rsidRPr="006A3ED9">
        <w:rPr>
          <w:rFonts w:ascii="Times New Roman" w:eastAsia="黑体" w:hAnsi="Times New Roman" w:cs="Times New Roman"/>
          <w:sz w:val="24"/>
          <w:szCs w:val="30"/>
        </w:rPr>
        <w:t>表</w:t>
      </w:r>
      <w:r>
        <w:rPr>
          <w:rFonts w:ascii="Times New Roman" w:eastAsia="黑体" w:hAnsi="Times New Roman" w:cs="Times New Roman"/>
          <w:sz w:val="24"/>
          <w:szCs w:val="30"/>
        </w:rPr>
        <w:t>4</w:t>
      </w:r>
      <w:r w:rsidRPr="006A3ED9">
        <w:rPr>
          <w:rFonts w:ascii="Times New Roman" w:eastAsia="黑体" w:hAnsi="Times New Roman" w:cs="Times New Roman"/>
          <w:sz w:val="24"/>
          <w:szCs w:val="30"/>
        </w:rPr>
        <w:t xml:space="preserve"> </w:t>
      </w:r>
      <w:r w:rsidRPr="006A3ED9">
        <w:rPr>
          <w:rFonts w:ascii="Times New Roman" w:eastAsia="黑体" w:hAnsi="Times New Roman" w:cs="Times New Roman" w:hint="eastAsia"/>
          <w:sz w:val="24"/>
          <w:szCs w:val="30"/>
        </w:rPr>
        <w:t>北京朝阳区</w:t>
      </w:r>
      <w:r w:rsidRPr="006A3ED9">
        <w:rPr>
          <w:rFonts w:ascii="Times New Roman" w:eastAsia="黑体" w:hAnsi="Times New Roman" w:cs="Times New Roman" w:hint="eastAsia"/>
          <w:sz w:val="24"/>
          <w:szCs w:val="30"/>
        </w:rPr>
        <w:t>14</w:t>
      </w:r>
      <w:r w:rsidRPr="006A3ED9">
        <w:rPr>
          <w:rFonts w:ascii="Times New Roman" w:eastAsia="黑体" w:hAnsi="Times New Roman" w:cs="Times New Roman" w:hint="eastAsia"/>
          <w:sz w:val="24"/>
          <w:szCs w:val="30"/>
        </w:rPr>
        <w:t>个重点产业</w:t>
      </w:r>
      <w:r>
        <w:rPr>
          <w:rFonts w:ascii="Times New Roman" w:eastAsia="黑体" w:hAnsi="Times New Roman" w:cs="Times New Roman" w:hint="eastAsia"/>
          <w:sz w:val="24"/>
          <w:szCs w:val="30"/>
        </w:rPr>
        <w:t>境外</w:t>
      </w:r>
      <w:r w:rsidRPr="00CF15AA">
        <w:rPr>
          <w:rFonts w:ascii="Times New Roman" w:eastAsia="黑体" w:hAnsi="Times New Roman" w:cs="Times New Roman" w:hint="eastAsia"/>
          <w:sz w:val="24"/>
          <w:szCs w:val="30"/>
        </w:rPr>
        <w:t>适配高校推荐</w:t>
      </w:r>
      <w:r>
        <w:rPr>
          <w:rFonts w:ascii="Times New Roman" w:eastAsia="黑体" w:hAnsi="Times New Roman" w:cs="Times New Roman" w:hint="eastAsia"/>
          <w:sz w:val="24"/>
          <w:szCs w:val="30"/>
        </w:rPr>
        <w:t>表</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2131"/>
        <w:gridCol w:w="5954"/>
      </w:tblGrid>
      <w:tr w:rsidR="00AE04EB" w:rsidRPr="006A3ED9" w:rsidTr="008B3A89">
        <w:trPr>
          <w:trHeight w:val="270"/>
        </w:trPr>
        <w:tc>
          <w:tcPr>
            <w:tcW w:w="704" w:type="dxa"/>
            <w:tcBorders>
              <w:top w:val="single" w:sz="12" w:space="0" w:color="auto"/>
              <w:left w:val="nil"/>
              <w:bottom w:val="single" w:sz="12" w:space="0" w:color="auto"/>
            </w:tcBorders>
            <w:shd w:val="clear" w:color="auto" w:fill="auto"/>
            <w:noWrap/>
            <w:vAlign w:val="center"/>
          </w:tcPr>
          <w:p w:rsidR="00AE04EB" w:rsidRPr="008B3A89" w:rsidRDefault="00AE04EB" w:rsidP="00AE04EB">
            <w:pPr>
              <w:widowControl/>
              <w:adjustRightInd w:val="0"/>
              <w:snapToGrid w:val="0"/>
              <w:jc w:val="left"/>
              <w:rPr>
                <w:rFonts w:ascii="宋体" w:eastAsia="宋体" w:hAnsi="宋体" w:cs="宋体"/>
                <w:b/>
                <w:color w:val="000000"/>
                <w:kern w:val="0"/>
                <w:szCs w:val="21"/>
              </w:rPr>
            </w:pPr>
            <w:r w:rsidRPr="008B3A89">
              <w:rPr>
                <w:rFonts w:hint="eastAsia"/>
                <w:b/>
                <w:color w:val="000000"/>
                <w:szCs w:val="21"/>
              </w:rPr>
              <w:t>序号</w:t>
            </w:r>
          </w:p>
        </w:tc>
        <w:tc>
          <w:tcPr>
            <w:tcW w:w="2131" w:type="dxa"/>
            <w:tcBorders>
              <w:top w:val="single" w:sz="12" w:space="0" w:color="auto"/>
              <w:bottom w:val="single" w:sz="12" w:space="0" w:color="auto"/>
            </w:tcBorders>
            <w:shd w:val="clear" w:color="auto" w:fill="auto"/>
            <w:noWrap/>
            <w:vAlign w:val="center"/>
          </w:tcPr>
          <w:p w:rsidR="00AE04EB" w:rsidRPr="008B3A89" w:rsidRDefault="00AE04EB" w:rsidP="00AE04EB">
            <w:pPr>
              <w:adjustRightInd w:val="0"/>
              <w:snapToGrid w:val="0"/>
              <w:jc w:val="center"/>
              <w:rPr>
                <w:rFonts w:hint="eastAsia"/>
                <w:b/>
                <w:color w:val="000000"/>
                <w:szCs w:val="21"/>
              </w:rPr>
            </w:pPr>
            <w:r w:rsidRPr="008B3A89">
              <w:rPr>
                <w:rFonts w:hint="eastAsia"/>
                <w:b/>
                <w:color w:val="000000"/>
                <w:szCs w:val="21"/>
              </w:rPr>
              <w:t>产业名称</w:t>
            </w:r>
          </w:p>
        </w:tc>
        <w:tc>
          <w:tcPr>
            <w:tcW w:w="5954" w:type="dxa"/>
            <w:tcBorders>
              <w:top w:val="single" w:sz="12" w:space="0" w:color="auto"/>
              <w:bottom w:val="single" w:sz="12" w:space="0" w:color="auto"/>
              <w:right w:val="nil"/>
            </w:tcBorders>
            <w:shd w:val="clear" w:color="auto" w:fill="auto"/>
            <w:noWrap/>
            <w:vAlign w:val="center"/>
          </w:tcPr>
          <w:p w:rsidR="00AE04EB" w:rsidRPr="008B3A89" w:rsidRDefault="00AE04EB" w:rsidP="00AE04EB">
            <w:pPr>
              <w:adjustRightInd w:val="0"/>
              <w:snapToGrid w:val="0"/>
              <w:jc w:val="center"/>
              <w:rPr>
                <w:rFonts w:hint="eastAsia"/>
                <w:b/>
                <w:color w:val="000000"/>
                <w:szCs w:val="21"/>
              </w:rPr>
            </w:pPr>
            <w:r w:rsidRPr="008B3A89">
              <w:rPr>
                <w:rFonts w:hint="eastAsia"/>
                <w:b/>
                <w:color w:val="000000"/>
                <w:szCs w:val="21"/>
              </w:rPr>
              <w:t>主要适配高校</w:t>
            </w:r>
          </w:p>
        </w:tc>
      </w:tr>
      <w:tr w:rsidR="00AE04EB" w:rsidRPr="006A3ED9" w:rsidTr="008B3A89">
        <w:trPr>
          <w:trHeight w:val="270"/>
        </w:trPr>
        <w:tc>
          <w:tcPr>
            <w:tcW w:w="704" w:type="dxa"/>
            <w:tcBorders>
              <w:top w:val="single" w:sz="12" w:space="0" w:color="auto"/>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color w:val="000000"/>
                <w:kern w:val="0"/>
                <w:szCs w:val="21"/>
              </w:rPr>
            </w:pPr>
            <w:r w:rsidRPr="008B3A89">
              <w:rPr>
                <w:rFonts w:asciiTheme="minorEastAsia" w:hAnsiTheme="minorEastAsia" w:cs="宋体" w:hint="eastAsia"/>
                <w:color w:val="000000"/>
                <w:kern w:val="0"/>
                <w:szCs w:val="21"/>
              </w:rPr>
              <w:t>1</w:t>
            </w:r>
          </w:p>
        </w:tc>
        <w:tc>
          <w:tcPr>
            <w:tcW w:w="2131" w:type="dxa"/>
            <w:tcBorders>
              <w:top w:val="single" w:sz="12" w:space="0" w:color="auto"/>
            </w:tcBorders>
            <w:shd w:val="clear" w:color="auto" w:fill="auto"/>
            <w:noWrap/>
            <w:vAlign w:val="center"/>
            <w:hideMark/>
          </w:tcPr>
          <w:p w:rsidR="00AE04EB" w:rsidRPr="008B3A89" w:rsidRDefault="00AE04EB" w:rsidP="00AE04EB">
            <w:pPr>
              <w:widowControl/>
              <w:adjustRightInd w:val="0"/>
              <w:snapToGrid w:val="0"/>
              <w:jc w:val="center"/>
              <w:rPr>
                <w:rFonts w:ascii="宋体" w:eastAsia="宋体" w:hAnsi="宋体" w:cs="宋体"/>
                <w:color w:val="000000"/>
                <w:kern w:val="0"/>
              </w:rPr>
            </w:pPr>
            <w:r w:rsidRPr="008B3A89">
              <w:rPr>
                <w:rFonts w:hint="eastAsia"/>
                <w:color w:val="000000"/>
              </w:rPr>
              <w:t>新一代信息技术</w:t>
            </w:r>
          </w:p>
        </w:tc>
        <w:tc>
          <w:tcPr>
            <w:tcW w:w="5954" w:type="dxa"/>
            <w:tcBorders>
              <w:top w:val="single" w:sz="12" w:space="0" w:color="auto"/>
              <w:right w:val="nil"/>
            </w:tcBorders>
            <w:shd w:val="clear" w:color="auto" w:fill="auto"/>
            <w:noWrap/>
            <w:vAlign w:val="center"/>
            <w:hideMark/>
          </w:tcPr>
          <w:p w:rsidR="00AE04EB" w:rsidRPr="008B3A89" w:rsidRDefault="00AE04EB" w:rsidP="00AE04EB">
            <w:pPr>
              <w:widowControl/>
              <w:adjustRightInd w:val="0"/>
              <w:snapToGrid w:val="0"/>
              <w:jc w:val="left"/>
              <w:rPr>
                <w:rFonts w:ascii="宋体" w:eastAsia="宋体" w:hAnsi="宋体" w:cs="宋体"/>
                <w:color w:val="000000"/>
                <w:kern w:val="0"/>
              </w:rPr>
            </w:pPr>
            <w:r w:rsidRPr="008B3A89">
              <w:rPr>
                <w:rFonts w:hint="eastAsia"/>
                <w:color w:val="000000"/>
              </w:rPr>
              <w:t>新加坡国立大学、香港大学、牛津大学、香港城市大学、慕尼黑工业大学、香港科技大学、莫纳什大学、西</w:t>
            </w:r>
            <w:proofErr w:type="gramStart"/>
            <w:r w:rsidRPr="008B3A89">
              <w:rPr>
                <w:rFonts w:hint="eastAsia"/>
                <w:color w:val="000000"/>
              </w:rPr>
              <w:t>澳大学</w:t>
            </w:r>
            <w:proofErr w:type="gramEnd"/>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2</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人工智能</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新南威尔士大学、悉尼大学、香港大学、伦敦大学学院、墨尔本大学、新加坡国立大学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3</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集成电路</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新南威尔士大学、悉尼大学、香港大学、新加坡国立大学、南洋理工大学、墨尔本大学、香港中文大学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4</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医药健康</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新加坡国立大学、伦敦大学学院、帝国理工学院、香港大学、墨尔本大学、悉尼大学、曼彻斯特大学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5</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智能制造与装备</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新南威尔士大学、南洋理工大学、香港大学、新加坡国立大学、悉尼大学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6</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绿色能源与节能环保</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新南威尔士大学、新加坡国立大学、香港大学、南洋理工大学、悉尼大学、帝国理工学院、伦敦大学学院</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7</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智能网联汽车</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南洋理工大学、新南威尔士大学、悉尼大学、香港大学、墨尔本大学、新加坡国立大学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8</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新材料</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新南威尔士大学、香港大学、悉尼大学、新加坡国立大学、南洋理工大学、伦敦大学学院</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lastRenderedPageBreak/>
              <w:t>9</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科技服务</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新南威尔士大学、悉尼大学、香港大学</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10</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商务服务</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新南威尔士大学、香港大学、墨尔本大学、悉尼大学、香港中文大学、伦敦大学学院</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11</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金融服务</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新南威尔士大学、悉尼大学、香港大学、新加坡国立大学、南洋理工大学、帝国理工学院</w:t>
            </w:r>
          </w:p>
        </w:tc>
      </w:tr>
      <w:tr w:rsidR="00AE04EB" w:rsidRPr="006A3ED9" w:rsidTr="008B3A89">
        <w:trPr>
          <w:trHeight w:val="270"/>
        </w:trPr>
        <w:tc>
          <w:tcPr>
            <w:tcW w:w="704" w:type="dxa"/>
            <w:tcBorders>
              <w:left w:val="nil"/>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12</w:t>
            </w:r>
          </w:p>
        </w:tc>
        <w:tc>
          <w:tcPr>
            <w:tcW w:w="2131" w:type="dxa"/>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文化和旅游</w:t>
            </w:r>
          </w:p>
        </w:tc>
        <w:tc>
          <w:tcPr>
            <w:tcW w:w="5954" w:type="dxa"/>
            <w:tcBorders>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新南威尔士大学、悉尼大学、香港大学、伦敦大学学院、墨尔本大学、曼彻斯特大学</w:t>
            </w:r>
          </w:p>
        </w:tc>
      </w:tr>
      <w:tr w:rsidR="00AE04EB" w:rsidRPr="006A3ED9" w:rsidTr="008B3A89">
        <w:trPr>
          <w:trHeight w:val="270"/>
        </w:trPr>
        <w:tc>
          <w:tcPr>
            <w:tcW w:w="704" w:type="dxa"/>
            <w:tcBorders>
              <w:left w:val="nil"/>
              <w:bottom w:val="single" w:sz="4" w:space="0" w:color="auto"/>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13</w:t>
            </w:r>
          </w:p>
        </w:tc>
        <w:tc>
          <w:tcPr>
            <w:tcW w:w="2131" w:type="dxa"/>
            <w:tcBorders>
              <w:bottom w:val="single" w:sz="4" w:space="0" w:color="auto"/>
            </w:tcBorders>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教育</w:t>
            </w:r>
          </w:p>
        </w:tc>
        <w:tc>
          <w:tcPr>
            <w:tcW w:w="5954" w:type="dxa"/>
            <w:tcBorders>
              <w:bottom w:val="single" w:sz="4" w:space="0" w:color="auto"/>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伦敦大学学院、墨尔本大学、香港大学、爱丁堡大学、悉尼大学、格拉斯哥大学、南洋理工大学</w:t>
            </w:r>
          </w:p>
        </w:tc>
      </w:tr>
      <w:tr w:rsidR="00AE04EB" w:rsidRPr="006A3ED9" w:rsidTr="008B3A89">
        <w:trPr>
          <w:trHeight w:val="270"/>
        </w:trPr>
        <w:tc>
          <w:tcPr>
            <w:tcW w:w="704" w:type="dxa"/>
            <w:tcBorders>
              <w:left w:val="nil"/>
              <w:bottom w:val="single" w:sz="12" w:space="0" w:color="auto"/>
            </w:tcBorders>
            <w:shd w:val="clear" w:color="auto" w:fill="auto"/>
            <w:noWrap/>
            <w:vAlign w:val="center"/>
            <w:hideMark/>
          </w:tcPr>
          <w:p w:rsidR="00AE04EB" w:rsidRPr="008B3A89" w:rsidRDefault="00AE04EB" w:rsidP="00AE04EB">
            <w:pPr>
              <w:widowControl/>
              <w:adjustRightInd w:val="0"/>
              <w:snapToGrid w:val="0"/>
              <w:jc w:val="center"/>
              <w:rPr>
                <w:rFonts w:asciiTheme="minorEastAsia" w:hAnsiTheme="minorEastAsia" w:cs="宋体" w:hint="eastAsia"/>
                <w:color w:val="000000"/>
                <w:kern w:val="0"/>
                <w:szCs w:val="21"/>
              </w:rPr>
            </w:pPr>
            <w:r w:rsidRPr="008B3A89">
              <w:rPr>
                <w:rFonts w:asciiTheme="minorEastAsia" w:hAnsiTheme="minorEastAsia" w:cs="宋体" w:hint="eastAsia"/>
                <w:color w:val="000000"/>
                <w:kern w:val="0"/>
                <w:szCs w:val="21"/>
              </w:rPr>
              <w:t>14</w:t>
            </w:r>
          </w:p>
        </w:tc>
        <w:tc>
          <w:tcPr>
            <w:tcW w:w="2131" w:type="dxa"/>
            <w:tcBorders>
              <w:bottom w:val="single" w:sz="12" w:space="0" w:color="auto"/>
            </w:tcBorders>
            <w:shd w:val="clear" w:color="auto" w:fill="auto"/>
            <w:noWrap/>
            <w:vAlign w:val="center"/>
            <w:hideMark/>
          </w:tcPr>
          <w:p w:rsidR="00AE04EB" w:rsidRPr="008B3A89" w:rsidRDefault="00AE04EB" w:rsidP="00AE04EB">
            <w:pPr>
              <w:adjustRightInd w:val="0"/>
              <w:snapToGrid w:val="0"/>
              <w:jc w:val="center"/>
              <w:rPr>
                <w:rFonts w:hint="eastAsia"/>
                <w:color w:val="000000"/>
              </w:rPr>
            </w:pPr>
            <w:r w:rsidRPr="008B3A89">
              <w:rPr>
                <w:rFonts w:hint="eastAsia"/>
                <w:color w:val="000000"/>
              </w:rPr>
              <w:t>医疗和养老</w:t>
            </w:r>
          </w:p>
        </w:tc>
        <w:tc>
          <w:tcPr>
            <w:tcW w:w="5954" w:type="dxa"/>
            <w:tcBorders>
              <w:bottom w:val="single" w:sz="12" w:space="0" w:color="auto"/>
              <w:right w:val="nil"/>
            </w:tcBorders>
            <w:shd w:val="clear" w:color="auto" w:fill="auto"/>
            <w:noWrap/>
            <w:vAlign w:val="center"/>
            <w:hideMark/>
          </w:tcPr>
          <w:p w:rsidR="00AE04EB" w:rsidRPr="008B3A89" w:rsidRDefault="00AE04EB" w:rsidP="00AE04EB">
            <w:pPr>
              <w:adjustRightInd w:val="0"/>
              <w:snapToGrid w:val="0"/>
              <w:rPr>
                <w:rFonts w:hint="eastAsia"/>
                <w:color w:val="000000"/>
              </w:rPr>
            </w:pPr>
            <w:r w:rsidRPr="008B3A89">
              <w:rPr>
                <w:rFonts w:hint="eastAsia"/>
                <w:color w:val="000000"/>
              </w:rPr>
              <w:t>新南威尔士大学、香港大学、悉尼大学、新加坡国立大学</w:t>
            </w:r>
          </w:p>
        </w:tc>
      </w:tr>
    </w:tbl>
    <w:p w:rsidR="00AE04EB" w:rsidRPr="00FB5A8F" w:rsidRDefault="00AE04EB" w:rsidP="00FB5A8F">
      <w:pPr>
        <w:pStyle w:val="a3"/>
        <w:adjustRightInd w:val="0"/>
        <w:snapToGrid w:val="0"/>
        <w:spacing w:line="240" w:lineRule="auto"/>
        <w:ind w:firstLineChars="0" w:firstLine="0"/>
        <w:rPr>
          <w:rStyle w:val="20"/>
          <w:rFonts w:hint="eastAsia"/>
          <w:b/>
          <w:bCs/>
          <w:sz w:val="21"/>
        </w:rPr>
      </w:pPr>
    </w:p>
    <w:p w:rsidR="00AE04EB" w:rsidRDefault="00AE04EB" w:rsidP="00AE04EB">
      <w:pPr>
        <w:pStyle w:val="a3"/>
        <w:ind w:firstLine="616"/>
        <w:rPr>
          <w:rFonts w:eastAsia="仿宋" w:cs="Times New Roman"/>
          <w:sz w:val="30"/>
          <w:szCs w:val="30"/>
        </w:rPr>
      </w:pPr>
      <w:r w:rsidRPr="00AE04EB">
        <w:rPr>
          <w:rFonts w:hint="eastAsia"/>
        </w:rPr>
        <w:t>基于对</w:t>
      </w:r>
      <w:r w:rsidRPr="00AE04EB">
        <w:t>14</w:t>
      </w:r>
      <w:r w:rsidRPr="00AE04EB">
        <w:t>个重点产业的适配院校系统评估结果，以涉及产业数量</w:t>
      </w:r>
      <w:r w:rsidRPr="00AE04EB">
        <w:t>9</w:t>
      </w:r>
      <w:r w:rsidRPr="00AE04EB">
        <w:t>个及以上、综合适配指数合计</w:t>
      </w:r>
      <w:r w:rsidRPr="00AE04EB">
        <w:t>400</w:t>
      </w:r>
      <w:r w:rsidRPr="00AE04EB">
        <w:t>分以上为标准，共筛选出</w:t>
      </w:r>
      <w:r w:rsidRPr="00AE04EB">
        <w:t>28</w:t>
      </w:r>
      <w:r w:rsidRPr="00AE04EB">
        <w:t>所境外</w:t>
      </w:r>
      <w:r w:rsidRPr="00AE04EB">
        <w:t>QS</w:t>
      </w:r>
      <w:r w:rsidRPr="00AE04EB">
        <w:t>前</w:t>
      </w:r>
      <w:r w:rsidRPr="00AE04EB">
        <w:t>200</w:t>
      </w:r>
      <w:r w:rsidRPr="00AE04EB">
        <w:t>院校，构成朝阳区人才引进的核心院校矩阵。</w:t>
      </w:r>
      <w:r>
        <w:rPr>
          <w:rFonts w:hint="eastAsia"/>
        </w:rPr>
        <w:t>其中，</w:t>
      </w:r>
      <w:r w:rsidRPr="00AE04EB">
        <w:rPr>
          <w:rFonts w:hint="eastAsia"/>
        </w:rPr>
        <w:t>香港大学、香港中文大学、香港城市大学、香港理工大学实现</w:t>
      </w:r>
      <w:r w:rsidRPr="00AE04EB">
        <w:rPr>
          <w:rFonts w:hint="eastAsia"/>
        </w:rPr>
        <w:t>14</w:t>
      </w:r>
      <w:r w:rsidRPr="00AE04EB">
        <w:rPr>
          <w:rFonts w:hint="eastAsia"/>
        </w:rPr>
        <w:t>个产业全覆盖。澳大利亚高校中，新南威尔士大学、悉尼大学、墨尔本大学、莫纳什大学、昆士兰大学等</w:t>
      </w:r>
      <w:r w:rsidRPr="00AE04EB">
        <w:rPr>
          <w:rFonts w:hint="eastAsia"/>
        </w:rPr>
        <w:t>5</w:t>
      </w:r>
      <w:r w:rsidRPr="00AE04EB">
        <w:rPr>
          <w:rFonts w:hint="eastAsia"/>
        </w:rPr>
        <w:t>所高校覆盖产业数量均在</w:t>
      </w:r>
      <w:r w:rsidRPr="00AE04EB">
        <w:rPr>
          <w:rFonts w:hint="eastAsia"/>
        </w:rPr>
        <w:t>13</w:t>
      </w:r>
      <w:r w:rsidRPr="00AE04EB">
        <w:rPr>
          <w:rFonts w:hint="eastAsia"/>
        </w:rPr>
        <w:t>个以上。英国高校中，伦敦大学学院、曼彻斯特大学、布里斯托大学、格拉斯哥大学、爱丁堡大学、伦敦大学国王学院、帝国理工学院等</w:t>
      </w:r>
      <w:r w:rsidRPr="00AE04EB">
        <w:rPr>
          <w:rFonts w:hint="eastAsia"/>
        </w:rPr>
        <w:t>12</w:t>
      </w:r>
      <w:r w:rsidRPr="00AE04EB">
        <w:rPr>
          <w:rFonts w:hint="eastAsia"/>
        </w:rPr>
        <w:t>所高校进入核心矩阵。新加坡高校中，新加坡国立大学实现</w:t>
      </w:r>
      <w:r w:rsidRPr="00AE04EB">
        <w:rPr>
          <w:rFonts w:hint="eastAsia"/>
        </w:rPr>
        <w:t>14</w:t>
      </w:r>
      <w:r w:rsidRPr="00AE04EB">
        <w:rPr>
          <w:rFonts w:hint="eastAsia"/>
        </w:rPr>
        <w:t>个产业全覆盖，南洋理工大学覆盖产业数量达</w:t>
      </w:r>
      <w:r w:rsidRPr="00AE04EB">
        <w:rPr>
          <w:rFonts w:hint="eastAsia"/>
        </w:rPr>
        <w:t>13</w:t>
      </w:r>
      <w:r w:rsidRPr="00AE04EB">
        <w:rPr>
          <w:rFonts w:hint="eastAsia"/>
        </w:rPr>
        <w:t>个。美国高校中，纽约大学、约翰霍普金斯大学、哥伦比亚大学等</w:t>
      </w:r>
      <w:r w:rsidRPr="00AE04EB">
        <w:rPr>
          <w:rFonts w:hint="eastAsia"/>
        </w:rPr>
        <w:t>3</w:t>
      </w:r>
      <w:r w:rsidRPr="00AE04EB">
        <w:rPr>
          <w:rFonts w:hint="eastAsia"/>
        </w:rPr>
        <w:t>所高校进入核心矩阵。</w:t>
      </w:r>
    </w:p>
    <w:p w:rsidR="00AE04EB" w:rsidRDefault="00AE04EB" w:rsidP="00083680">
      <w:pPr>
        <w:jc w:val="center"/>
        <w:rPr>
          <w:rFonts w:ascii="Times New Roman" w:eastAsia="黑体" w:hAnsi="Times New Roman" w:cs="Times New Roman"/>
          <w:sz w:val="24"/>
          <w:szCs w:val="30"/>
        </w:rPr>
      </w:pPr>
      <w:r>
        <w:rPr>
          <w:rFonts w:ascii="Times New Roman" w:eastAsia="黑体" w:hAnsi="Times New Roman" w:cs="Times New Roman"/>
          <w:sz w:val="24"/>
          <w:szCs w:val="30"/>
        </w:rPr>
        <w:t>表</w:t>
      </w:r>
      <w:r w:rsidR="00D93B61">
        <w:rPr>
          <w:rFonts w:ascii="Times New Roman" w:eastAsia="黑体" w:hAnsi="Times New Roman" w:cs="Times New Roman"/>
          <w:sz w:val="24"/>
          <w:szCs w:val="30"/>
        </w:rPr>
        <w:t>5</w:t>
      </w:r>
      <w:r>
        <w:rPr>
          <w:rFonts w:ascii="Times New Roman" w:eastAsia="黑体" w:hAnsi="Times New Roman" w:cs="Times New Roman"/>
          <w:sz w:val="24"/>
          <w:szCs w:val="30"/>
        </w:rPr>
        <w:t xml:space="preserve"> </w:t>
      </w:r>
      <w:r>
        <w:rPr>
          <w:rFonts w:ascii="Times New Roman" w:eastAsia="黑体" w:hAnsi="Times New Roman" w:cs="Times New Roman"/>
          <w:sz w:val="24"/>
          <w:szCs w:val="30"/>
        </w:rPr>
        <w:t>朝阳区重点产业人才引进境外</w:t>
      </w:r>
      <w:r>
        <w:rPr>
          <w:rFonts w:ascii="Times New Roman" w:eastAsia="黑体" w:hAnsi="Times New Roman" w:cs="Times New Roman"/>
          <w:sz w:val="24"/>
          <w:szCs w:val="30"/>
        </w:rPr>
        <w:t>QS</w:t>
      </w:r>
      <w:r>
        <w:rPr>
          <w:rFonts w:ascii="Times New Roman" w:eastAsia="黑体" w:hAnsi="Times New Roman" w:cs="Times New Roman"/>
          <w:sz w:val="24"/>
          <w:szCs w:val="30"/>
        </w:rPr>
        <w:t>前</w:t>
      </w:r>
      <w:r>
        <w:rPr>
          <w:rFonts w:ascii="Times New Roman" w:eastAsia="黑体" w:hAnsi="Times New Roman" w:cs="Times New Roman"/>
          <w:sz w:val="24"/>
          <w:szCs w:val="30"/>
        </w:rPr>
        <w:t>200</w:t>
      </w:r>
      <w:r>
        <w:rPr>
          <w:rFonts w:ascii="Times New Roman" w:eastAsia="黑体" w:hAnsi="Times New Roman" w:cs="Times New Roman"/>
          <w:sz w:val="24"/>
          <w:szCs w:val="30"/>
        </w:rPr>
        <w:t>院校核心院校矩阵</w:t>
      </w:r>
    </w:p>
    <w:tbl>
      <w:tblPr>
        <w:tblStyle w:val="21"/>
        <w:tblW w:w="5291" w:type="pct"/>
        <w:jc w:val="center"/>
        <w:tblLayout w:type="fixed"/>
        <w:tblCellMar>
          <w:top w:w="113" w:type="dxa"/>
          <w:bottom w:w="113" w:type="dxa"/>
        </w:tblCellMar>
        <w:tblLook w:val="04A0" w:firstRow="1" w:lastRow="0" w:firstColumn="1" w:lastColumn="0" w:noHBand="0" w:noVBand="1"/>
      </w:tblPr>
      <w:tblGrid>
        <w:gridCol w:w="756"/>
        <w:gridCol w:w="2119"/>
        <w:gridCol w:w="1206"/>
        <w:gridCol w:w="1206"/>
        <w:gridCol w:w="4073"/>
      </w:tblGrid>
      <w:tr w:rsidR="00AE04EB" w:rsidTr="008B3A89">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12" w:space="0" w:color="auto"/>
              <w:right w:val="single" w:sz="4" w:space="0" w:color="auto"/>
            </w:tcBorders>
            <w:noWrap/>
            <w:vAlign w:val="center"/>
          </w:tcPr>
          <w:p w:rsidR="00AE04EB" w:rsidRDefault="00AE04EB" w:rsidP="008B3A89">
            <w:pPr>
              <w:widowControl/>
              <w:adjustRightInd w:val="0"/>
              <w:snapToGrid w:val="0"/>
              <w:jc w:val="center"/>
              <w:rPr>
                <w:rFonts w:ascii="Times New Roman" w:eastAsia="宋体" w:hAnsi="Times New Roman" w:cs="Times New Roman"/>
                <w:b w:val="0"/>
                <w:bCs w:val="0"/>
                <w:color w:val="000000"/>
                <w:szCs w:val="21"/>
              </w:rPr>
            </w:pPr>
            <w:r>
              <w:rPr>
                <w:rFonts w:ascii="Times New Roman" w:eastAsia="宋体" w:hAnsi="Times New Roman" w:cs="Times New Roman" w:hint="eastAsia"/>
                <w:color w:val="000000"/>
                <w:szCs w:val="21"/>
              </w:rPr>
              <w:lastRenderedPageBreak/>
              <w:t>序号</w:t>
            </w:r>
          </w:p>
        </w:tc>
        <w:tc>
          <w:tcPr>
            <w:tcW w:w="1132" w:type="pct"/>
            <w:tcBorders>
              <w:top w:val="single" w:sz="12" w:space="0" w:color="auto"/>
              <w:left w:val="single" w:sz="4" w:space="0" w:color="auto"/>
              <w:bottom w:val="single" w:sz="4" w:space="0" w:color="auto"/>
            </w:tcBorders>
            <w:noWrap/>
            <w:vAlign w:val="center"/>
          </w:tcPr>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hint="eastAsia"/>
                <w:color w:val="000000"/>
                <w:szCs w:val="21"/>
              </w:rPr>
              <w:t>院校</w:t>
            </w:r>
            <w:r>
              <w:rPr>
                <w:rFonts w:ascii="Times New Roman" w:eastAsia="宋体" w:hAnsi="Times New Roman" w:cs="Times New Roman"/>
                <w:color w:val="000000"/>
                <w:szCs w:val="21"/>
              </w:rPr>
              <w:t>名称</w:t>
            </w:r>
          </w:p>
        </w:tc>
        <w:tc>
          <w:tcPr>
            <w:tcW w:w="644" w:type="pct"/>
            <w:tcBorders>
              <w:top w:val="single" w:sz="12" w:space="0" w:color="auto"/>
              <w:left w:val="single" w:sz="4" w:space="0" w:color="auto"/>
              <w:bottom w:val="single" w:sz="4" w:space="0" w:color="auto"/>
            </w:tcBorders>
            <w:vAlign w:val="center"/>
          </w:tcPr>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color w:val="000000"/>
                <w:szCs w:val="21"/>
              </w:rPr>
              <w:t>涉及产业</w:t>
            </w:r>
          </w:p>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color w:val="000000"/>
                <w:szCs w:val="21"/>
              </w:rPr>
              <w:t>数量合计</w:t>
            </w:r>
          </w:p>
        </w:tc>
        <w:tc>
          <w:tcPr>
            <w:tcW w:w="644" w:type="pct"/>
            <w:tcBorders>
              <w:top w:val="single" w:sz="12" w:space="0" w:color="auto"/>
              <w:left w:val="single" w:sz="4" w:space="0" w:color="auto"/>
              <w:bottom w:val="single" w:sz="4" w:space="0" w:color="auto"/>
            </w:tcBorders>
            <w:vAlign w:val="center"/>
          </w:tcPr>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color w:val="000000"/>
                <w:szCs w:val="21"/>
              </w:rPr>
              <w:t>综合适配</w:t>
            </w:r>
          </w:p>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color w:val="000000"/>
                <w:szCs w:val="21"/>
              </w:rPr>
              <w:t>指数合计</w:t>
            </w:r>
          </w:p>
        </w:tc>
        <w:tc>
          <w:tcPr>
            <w:tcW w:w="2176" w:type="pct"/>
            <w:tcBorders>
              <w:top w:val="single" w:sz="12" w:space="0" w:color="auto"/>
              <w:left w:val="single" w:sz="4" w:space="0" w:color="auto"/>
              <w:bottom w:val="single" w:sz="4" w:space="0" w:color="auto"/>
            </w:tcBorders>
            <w:vAlign w:val="center"/>
          </w:tcPr>
          <w:p w:rsidR="00AE04EB" w:rsidRDefault="00AE04EB" w:rsidP="008B3A8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bCs w:val="0"/>
                <w:color w:val="000000"/>
                <w:szCs w:val="21"/>
              </w:rPr>
            </w:pPr>
            <w:r>
              <w:rPr>
                <w:rFonts w:ascii="Times New Roman" w:eastAsia="宋体" w:hAnsi="Times New Roman" w:cs="Times New Roman" w:hint="eastAsia"/>
                <w:color w:val="000000"/>
                <w:szCs w:val="21"/>
              </w:rPr>
              <w:t>重点适配产业</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12"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w:t>
            </w:r>
          </w:p>
        </w:tc>
        <w:tc>
          <w:tcPr>
            <w:tcW w:w="1132" w:type="pct"/>
            <w:tcBorders>
              <w:top w:val="single" w:sz="12" w:space="0" w:color="auto"/>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widowControl/>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香港大学</w:t>
            </w:r>
          </w:p>
        </w:tc>
        <w:tc>
          <w:tcPr>
            <w:tcW w:w="644" w:type="pct"/>
            <w:tcBorders>
              <w:top w:val="single" w:sz="12" w:space="0" w:color="auto"/>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top w:val="single" w:sz="12" w:space="0" w:color="auto"/>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939</w:t>
            </w:r>
          </w:p>
        </w:tc>
        <w:tc>
          <w:tcPr>
            <w:tcW w:w="2176" w:type="pct"/>
            <w:tcBorders>
              <w:top w:val="single" w:sz="12" w:space="0" w:color="auto"/>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金融服务、科技服务、医药健康等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新加坡国立大学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909</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人工智能、绿色能源、金融服务等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3</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香港中文大学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797</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金融服务、人工智能、科技服务等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4</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香港城市大学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786</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金融服务、人工智能、新材料等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5</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莫纳什大学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772</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医药健康、金融服务、科技服务等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6</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香港理工大学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14</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716</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智能制造、智能网联汽车、新材料等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7</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新南威尔士大学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897</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绿色能源、人工智能、金融服务等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8</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悉尼大学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856</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医药健康、教育产业、金融服务等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9</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伦敦大学学院</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803</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人工智能、教育产业、医药健康等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10</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南洋理工大学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794</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智能制造、人工智能、智能网联汽车等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11</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墨尔本大学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784</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医药健康、教育产业、金融服务等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12</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曼彻斯特大学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728</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金融服务、绿色能源、科技服务等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13</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昆士兰大学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675</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绿色能源、科技服务、医药健康等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14</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纽约大学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13</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649</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金融服务、科技服务、商务服务等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15</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爱丁堡大学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657</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人工智能、教育产业、医药健康等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16</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香港科技大学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646</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集成电路、人工智能、智能制造等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17</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布里斯托大学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626</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人工智能、智能制造、金融服务等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18</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格拉斯哥大学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624</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教育产业、科技服务、绿色能源等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19</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马来亚大学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586</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绿色能源、人工智能、科技服务等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20</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伯明翰大学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12</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548</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金融服务、科技服务、绿色能源等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lastRenderedPageBreak/>
              <w:t>21</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伦敦大学国王学院</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11</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587</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医药健康、金融服务、科技服务等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22</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约翰霍普金斯大学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11</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578</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医药健康、金融服务、人工智能等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23</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利兹大学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11</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512</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绿色能源、金融服务、教育产业等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24</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谢菲尔德大学</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11</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502</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智能制造、绿色能源、新材料等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25</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南安普敦大学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11</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501</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智能制造、人工智能、绿色能源等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26</w:t>
            </w:r>
          </w:p>
        </w:tc>
        <w:tc>
          <w:tcPr>
            <w:tcW w:w="1132" w:type="pct"/>
            <w:tcBorders>
              <w:left w:val="single" w:sz="4"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帝国理工学院</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10</w:t>
            </w:r>
          </w:p>
        </w:tc>
        <w:tc>
          <w:tcPr>
            <w:tcW w:w="644" w:type="pct"/>
            <w:tcBorders>
              <w:left w:val="single" w:sz="4"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580</w:t>
            </w:r>
          </w:p>
        </w:tc>
        <w:tc>
          <w:tcPr>
            <w:tcW w:w="2176" w:type="pct"/>
            <w:tcBorders>
              <w:left w:val="single" w:sz="4"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人工智能、智能制造、医药健康等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7F7F7F" w:themeColor="text1" w:themeTint="80"/>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27</w:t>
            </w:r>
          </w:p>
        </w:tc>
        <w:tc>
          <w:tcPr>
            <w:tcW w:w="1132" w:type="pct"/>
            <w:tcBorders>
              <w:top w:val="single" w:sz="4" w:space="0" w:color="7F7F7F" w:themeColor="text1" w:themeTint="80"/>
              <w:left w:val="single" w:sz="4" w:space="0" w:color="auto"/>
              <w:bottom w:val="single" w:sz="4" w:space="0" w:color="7F7F7F" w:themeColor="text1" w:themeTint="80"/>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澳洲国立大学</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10</w:t>
            </w:r>
          </w:p>
        </w:tc>
        <w:tc>
          <w:tcPr>
            <w:tcW w:w="644" w:type="pct"/>
            <w:tcBorders>
              <w:top w:val="single" w:sz="4" w:space="0" w:color="7F7F7F" w:themeColor="text1" w:themeTint="80"/>
              <w:left w:val="single" w:sz="4" w:space="0" w:color="auto"/>
              <w:bottom w:val="single" w:sz="4" w:space="0" w:color="7F7F7F" w:themeColor="text1" w:themeTint="80"/>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553</w:t>
            </w:r>
          </w:p>
        </w:tc>
        <w:tc>
          <w:tcPr>
            <w:tcW w:w="2176" w:type="pct"/>
            <w:tcBorders>
              <w:top w:val="single" w:sz="4" w:space="0" w:color="7F7F7F" w:themeColor="text1" w:themeTint="80"/>
              <w:left w:val="single" w:sz="4" w:space="0" w:color="auto"/>
              <w:bottom w:val="single" w:sz="4" w:space="0" w:color="7F7F7F" w:themeColor="text1" w:themeTint="80"/>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金融服务、绿色能源、科技服务等</w:t>
            </w:r>
          </w:p>
        </w:tc>
      </w:tr>
      <w:tr w:rsidR="00AE04EB" w:rsidTr="008B3A89">
        <w:trPr>
          <w:trHeight w:val="340"/>
          <w:jc w:val="center"/>
        </w:trPr>
        <w:tc>
          <w:tcPr>
            <w:cnfStyle w:val="001000000000" w:firstRow="0" w:lastRow="0" w:firstColumn="1" w:lastColumn="0" w:oddVBand="0" w:evenVBand="0" w:oddHBand="0" w:evenHBand="0" w:firstRowFirstColumn="0" w:firstRowLastColumn="0" w:lastRowFirstColumn="0" w:lastRowLastColumn="0"/>
            <w:tcW w:w="404" w:type="pct"/>
            <w:tcBorders>
              <w:bottom w:val="single" w:sz="12" w:space="0" w:color="auto"/>
              <w:right w:val="single" w:sz="4" w:space="0" w:color="auto"/>
            </w:tcBorders>
            <w:noWrap/>
            <w:vAlign w:val="center"/>
          </w:tcPr>
          <w:p w:rsidR="00AE04EB" w:rsidRPr="008B3A89" w:rsidRDefault="00AE04EB" w:rsidP="008B3A89">
            <w:pPr>
              <w:adjustRightInd w:val="0"/>
              <w:snapToGrid w:val="0"/>
              <w:jc w:val="center"/>
              <w:rPr>
                <w:rFonts w:ascii="Times New Roman" w:eastAsia="宋体" w:hAnsi="Times New Roman" w:cs="Times New Roman"/>
                <w:bCs w:val="0"/>
                <w:color w:val="000000"/>
                <w:sz w:val="22"/>
                <w:szCs w:val="21"/>
              </w:rPr>
            </w:pPr>
            <w:r w:rsidRPr="008B3A89">
              <w:rPr>
                <w:rFonts w:ascii="Times New Roman" w:eastAsia="宋体" w:hAnsi="Times New Roman" w:cs="Times New Roman"/>
                <w:b w:val="0"/>
                <w:color w:val="000000"/>
                <w:sz w:val="22"/>
                <w:szCs w:val="21"/>
              </w:rPr>
              <w:t>28</w:t>
            </w:r>
          </w:p>
        </w:tc>
        <w:tc>
          <w:tcPr>
            <w:tcW w:w="1132" w:type="pct"/>
            <w:tcBorders>
              <w:left w:val="single" w:sz="4" w:space="0" w:color="auto"/>
              <w:bottom w:val="single" w:sz="12" w:space="0" w:color="auto"/>
              <w:right w:val="single" w:sz="4" w:space="0" w:color="auto"/>
            </w:tcBorders>
            <w:noWrap/>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哥伦比亚大学</w:t>
            </w:r>
          </w:p>
        </w:tc>
        <w:tc>
          <w:tcPr>
            <w:tcW w:w="644" w:type="pct"/>
            <w:tcBorders>
              <w:left w:val="single" w:sz="4" w:space="0" w:color="auto"/>
              <w:bottom w:val="single" w:sz="12"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10</w:t>
            </w:r>
          </w:p>
        </w:tc>
        <w:tc>
          <w:tcPr>
            <w:tcW w:w="644" w:type="pct"/>
            <w:tcBorders>
              <w:left w:val="single" w:sz="4" w:space="0" w:color="auto"/>
              <w:bottom w:val="single" w:sz="12" w:space="0" w:color="auto"/>
              <w:right w:val="single" w:sz="4" w:space="0" w:color="auto"/>
            </w:tcBorders>
            <w:vAlign w:val="center"/>
          </w:tcPr>
          <w:p w:rsidR="00AE04EB" w:rsidRPr="008B3A89" w:rsidRDefault="00AE04EB" w:rsidP="008B3A89">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512</w:t>
            </w:r>
          </w:p>
        </w:tc>
        <w:tc>
          <w:tcPr>
            <w:tcW w:w="2176" w:type="pct"/>
            <w:tcBorders>
              <w:left w:val="single" w:sz="4" w:space="0" w:color="auto"/>
              <w:bottom w:val="single" w:sz="12" w:space="0" w:color="auto"/>
            </w:tcBorders>
            <w:noWrap/>
            <w:vAlign w:val="center"/>
          </w:tcPr>
          <w:p w:rsidR="00AE04EB" w:rsidRPr="008B3A89" w:rsidRDefault="00AE04EB" w:rsidP="008B3A89">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sz w:val="22"/>
                <w:szCs w:val="21"/>
              </w:rPr>
            </w:pPr>
            <w:r w:rsidRPr="008B3A89">
              <w:rPr>
                <w:rFonts w:ascii="Times New Roman" w:eastAsia="宋体" w:hAnsi="Times New Roman" w:cs="Times New Roman"/>
                <w:color w:val="000000"/>
                <w:sz w:val="22"/>
                <w:szCs w:val="21"/>
              </w:rPr>
              <w:t>金融服务、人工智能、科技服务等</w:t>
            </w:r>
          </w:p>
        </w:tc>
      </w:tr>
    </w:tbl>
    <w:p w:rsidR="00EF5B26" w:rsidRPr="00083680" w:rsidRDefault="00AE04EB" w:rsidP="00BF2401">
      <w:pPr>
        <w:pStyle w:val="a3"/>
        <w:adjustRightInd w:val="0"/>
        <w:snapToGrid w:val="0"/>
        <w:spacing w:beforeLines="10" w:before="57" w:line="240" w:lineRule="auto"/>
        <w:ind w:firstLineChars="0" w:firstLine="0"/>
        <w:rPr>
          <w:sz w:val="21"/>
        </w:rPr>
      </w:pPr>
      <w:r w:rsidRPr="00083680">
        <w:rPr>
          <w:rFonts w:hint="eastAsia"/>
          <w:sz w:val="21"/>
        </w:rPr>
        <w:t>注：</w:t>
      </w:r>
      <w:r w:rsidRPr="00083680">
        <w:rPr>
          <w:sz w:val="21"/>
        </w:rPr>
        <w:t>综合适配指数</w:t>
      </w:r>
      <w:r w:rsidRPr="00083680">
        <w:rPr>
          <w:rFonts w:hint="eastAsia"/>
          <w:sz w:val="21"/>
        </w:rPr>
        <w:t>合计</w:t>
      </w:r>
      <w:r w:rsidRPr="00083680">
        <w:rPr>
          <w:sz w:val="21"/>
        </w:rPr>
        <w:t>为该</w:t>
      </w:r>
      <w:r w:rsidRPr="00083680">
        <w:rPr>
          <w:rFonts w:hint="eastAsia"/>
          <w:sz w:val="21"/>
        </w:rPr>
        <w:t>院校</w:t>
      </w:r>
      <w:r w:rsidRPr="00083680">
        <w:rPr>
          <w:sz w:val="21"/>
        </w:rPr>
        <w:t>在各产业得分的汇总值，反映</w:t>
      </w:r>
      <w:r w:rsidRPr="00083680">
        <w:rPr>
          <w:rFonts w:hint="eastAsia"/>
          <w:sz w:val="21"/>
        </w:rPr>
        <w:t>院校</w:t>
      </w:r>
      <w:r w:rsidRPr="00083680">
        <w:rPr>
          <w:sz w:val="21"/>
        </w:rPr>
        <w:t>在朝阳区重点产业中的整体人才供给能力；涉及产业数量</w:t>
      </w:r>
      <w:proofErr w:type="gramStart"/>
      <w:r w:rsidRPr="00083680">
        <w:rPr>
          <w:rFonts w:hint="eastAsia"/>
          <w:sz w:val="21"/>
        </w:rPr>
        <w:t>合计</w:t>
      </w:r>
      <w:r w:rsidRPr="00083680">
        <w:rPr>
          <w:sz w:val="21"/>
        </w:rPr>
        <w:t>指</w:t>
      </w:r>
      <w:proofErr w:type="gramEnd"/>
      <w:r w:rsidRPr="00083680">
        <w:rPr>
          <w:sz w:val="21"/>
        </w:rPr>
        <w:t>该</w:t>
      </w:r>
      <w:r w:rsidRPr="00083680">
        <w:rPr>
          <w:rFonts w:hint="eastAsia"/>
          <w:sz w:val="21"/>
        </w:rPr>
        <w:t>院校</w:t>
      </w:r>
      <w:r w:rsidRPr="00083680">
        <w:rPr>
          <w:sz w:val="21"/>
        </w:rPr>
        <w:t>在</w:t>
      </w:r>
      <w:r w:rsidRPr="00083680">
        <w:rPr>
          <w:sz w:val="21"/>
        </w:rPr>
        <w:t>14</w:t>
      </w:r>
      <w:r w:rsidRPr="00083680">
        <w:rPr>
          <w:sz w:val="21"/>
        </w:rPr>
        <w:t>个产业中被列为推荐</w:t>
      </w:r>
      <w:r w:rsidRPr="00083680">
        <w:rPr>
          <w:rFonts w:hint="eastAsia"/>
          <w:sz w:val="21"/>
        </w:rPr>
        <w:t>院校</w:t>
      </w:r>
      <w:r w:rsidRPr="00083680">
        <w:rPr>
          <w:sz w:val="21"/>
        </w:rPr>
        <w:t>的数量。</w:t>
      </w:r>
    </w:p>
    <w:p w:rsidR="00EF5B26" w:rsidRPr="00BF2401" w:rsidRDefault="00EF5B26" w:rsidP="00BF2401">
      <w:pPr>
        <w:pStyle w:val="a3"/>
        <w:adjustRightInd w:val="0"/>
        <w:snapToGrid w:val="0"/>
        <w:spacing w:line="240" w:lineRule="auto"/>
        <w:ind w:firstLineChars="0" w:firstLine="0"/>
        <w:rPr>
          <w:rStyle w:val="20"/>
          <w:b/>
          <w:bCs/>
          <w:sz w:val="21"/>
        </w:rPr>
      </w:pPr>
    </w:p>
    <w:p w:rsidR="00FB5A8F" w:rsidRDefault="00D93B61" w:rsidP="00FB5A8F">
      <w:pPr>
        <w:pStyle w:val="1"/>
        <w:ind w:firstLineChars="0" w:firstLine="640"/>
      </w:pPr>
      <w:r>
        <w:rPr>
          <w:rFonts w:hint="eastAsia"/>
        </w:rPr>
        <w:t>六</w:t>
      </w:r>
      <w:r w:rsidR="00FB5A8F">
        <w:rPr>
          <w:rFonts w:hint="eastAsia"/>
        </w:rPr>
        <w:t>、</w:t>
      </w:r>
      <w:r w:rsidRPr="00D93B61">
        <w:rPr>
          <w:rFonts w:hint="eastAsia"/>
        </w:rPr>
        <w:t>目标人才择业特征与区域认知</w:t>
      </w:r>
    </w:p>
    <w:p w:rsidR="002E218B" w:rsidRPr="002E218B" w:rsidRDefault="002E218B" w:rsidP="00FE496F">
      <w:pPr>
        <w:ind w:firstLineChars="200" w:firstLine="616"/>
        <w:rPr>
          <w:rFonts w:ascii="Times New Roman" w:eastAsia="仿宋_GB2312" w:hAnsi="Times New Roman" w:cs="仿宋_GB2312" w:hint="eastAsia"/>
          <w:spacing w:val="-6"/>
          <w:kern w:val="0"/>
          <w:sz w:val="32"/>
          <w:szCs w:val="32"/>
        </w:rPr>
      </w:pPr>
      <w:r w:rsidRPr="002E218B">
        <w:rPr>
          <w:rFonts w:ascii="Times New Roman" w:eastAsia="仿宋_GB2312" w:hAnsi="Times New Roman" w:cs="仿宋_GB2312" w:hint="eastAsia"/>
          <w:spacing w:val="-6"/>
          <w:kern w:val="0"/>
          <w:sz w:val="32"/>
          <w:szCs w:val="32"/>
        </w:rPr>
        <w:t>本报告面向国内双一流高校和境外</w:t>
      </w:r>
      <w:r w:rsidRPr="002E218B">
        <w:rPr>
          <w:rFonts w:ascii="Times New Roman" w:eastAsia="仿宋_GB2312" w:hAnsi="Times New Roman" w:cs="仿宋_GB2312" w:hint="eastAsia"/>
          <w:spacing w:val="-6"/>
          <w:kern w:val="0"/>
          <w:sz w:val="32"/>
          <w:szCs w:val="32"/>
        </w:rPr>
        <w:t>QS</w:t>
      </w:r>
      <w:r w:rsidRPr="002E218B">
        <w:rPr>
          <w:rFonts w:ascii="Times New Roman" w:eastAsia="仿宋_GB2312" w:hAnsi="Times New Roman" w:cs="仿宋_GB2312" w:hint="eastAsia"/>
          <w:spacing w:val="-6"/>
          <w:kern w:val="0"/>
          <w:sz w:val="32"/>
          <w:szCs w:val="32"/>
        </w:rPr>
        <w:t>前</w:t>
      </w:r>
      <w:r w:rsidRPr="002E218B">
        <w:rPr>
          <w:rFonts w:ascii="Times New Roman" w:eastAsia="仿宋_GB2312" w:hAnsi="Times New Roman" w:cs="仿宋_GB2312" w:hint="eastAsia"/>
          <w:spacing w:val="-6"/>
          <w:kern w:val="0"/>
          <w:sz w:val="32"/>
          <w:szCs w:val="32"/>
        </w:rPr>
        <w:t>200</w:t>
      </w:r>
      <w:r w:rsidRPr="002E218B">
        <w:rPr>
          <w:rFonts w:ascii="Times New Roman" w:eastAsia="仿宋_GB2312" w:hAnsi="Times New Roman" w:cs="仿宋_GB2312" w:hint="eastAsia"/>
          <w:spacing w:val="-6"/>
          <w:kern w:val="0"/>
          <w:sz w:val="32"/>
          <w:szCs w:val="32"/>
        </w:rPr>
        <w:t>院校目标专业学生开展专项调研，共回收有效问卷</w:t>
      </w:r>
      <w:r w:rsidRPr="002E218B">
        <w:rPr>
          <w:rFonts w:ascii="Times New Roman" w:eastAsia="仿宋_GB2312" w:hAnsi="Times New Roman" w:cs="仿宋_GB2312" w:hint="eastAsia"/>
          <w:spacing w:val="-6"/>
          <w:kern w:val="0"/>
          <w:sz w:val="32"/>
          <w:szCs w:val="32"/>
        </w:rPr>
        <w:t>45925</w:t>
      </w:r>
      <w:r w:rsidRPr="002E218B">
        <w:rPr>
          <w:rFonts w:ascii="Times New Roman" w:eastAsia="仿宋_GB2312" w:hAnsi="Times New Roman" w:cs="仿宋_GB2312" w:hint="eastAsia"/>
          <w:spacing w:val="-6"/>
          <w:kern w:val="0"/>
          <w:sz w:val="32"/>
          <w:szCs w:val="32"/>
        </w:rPr>
        <w:t>份。以下从区域认知、就业意愿、择业偏好、主要顾虑、政策诉求五个维度进行分析。</w:t>
      </w:r>
    </w:p>
    <w:p w:rsidR="00FB5A8F" w:rsidRPr="00C772B6" w:rsidRDefault="00FB5A8F" w:rsidP="00FB5A8F">
      <w:pPr>
        <w:pStyle w:val="2"/>
        <w:ind w:firstLineChars="0" w:firstLine="640"/>
        <w:rPr>
          <w:rFonts w:hint="eastAsia"/>
        </w:rPr>
      </w:pPr>
      <w:r>
        <w:rPr>
          <w:rFonts w:hint="eastAsia"/>
        </w:rPr>
        <w:t>（一）</w:t>
      </w:r>
      <w:r w:rsidR="00D93B61" w:rsidRPr="00D93B61">
        <w:rPr>
          <w:rFonts w:hint="eastAsia"/>
        </w:rPr>
        <w:t>区域认知情况</w:t>
      </w:r>
    </w:p>
    <w:p w:rsidR="00FB5A8F" w:rsidRPr="00C772B6" w:rsidRDefault="00D93B61" w:rsidP="00D93B61">
      <w:pPr>
        <w:pStyle w:val="a3"/>
        <w:ind w:firstLine="616"/>
        <w:rPr>
          <w:rFonts w:hint="eastAsia"/>
        </w:rPr>
      </w:pPr>
      <w:r>
        <w:rPr>
          <w:rFonts w:hint="eastAsia"/>
        </w:rPr>
        <w:t>目标人才对朝阳区的整体认知度</w:t>
      </w:r>
      <w:r w:rsidR="000A1525" w:rsidRPr="000A1525">
        <w:rPr>
          <w:rFonts w:hint="eastAsia"/>
        </w:rPr>
        <w:t>（即“非常了解”和“比较了解”的比例之和）</w:t>
      </w:r>
      <w:r>
        <w:rPr>
          <w:rFonts w:hint="eastAsia"/>
        </w:rPr>
        <w:t>为</w:t>
      </w:r>
      <w:r>
        <w:rPr>
          <w:rFonts w:hint="eastAsia"/>
        </w:rPr>
        <w:t>31.7%</w:t>
      </w:r>
      <w:r>
        <w:rPr>
          <w:rFonts w:hint="eastAsia"/>
        </w:rPr>
        <w:t>。分群体看，</w:t>
      </w:r>
      <w:proofErr w:type="gramStart"/>
      <w:r>
        <w:rPr>
          <w:rFonts w:hint="eastAsia"/>
        </w:rPr>
        <w:t>京内院校</w:t>
      </w:r>
      <w:proofErr w:type="gramEnd"/>
      <w:r>
        <w:rPr>
          <w:rFonts w:hint="eastAsia"/>
        </w:rPr>
        <w:t>学生认知度达</w:t>
      </w:r>
      <w:r>
        <w:rPr>
          <w:rFonts w:hint="eastAsia"/>
        </w:rPr>
        <w:t>76.9%</w:t>
      </w:r>
      <w:r>
        <w:rPr>
          <w:rFonts w:hint="eastAsia"/>
        </w:rPr>
        <w:t>，显著高于京外院校学生的</w:t>
      </w:r>
      <w:r>
        <w:rPr>
          <w:rFonts w:hint="eastAsia"/>
        </w:rPr>
        <w:t>25.3%</w:t>
      </w:r>
      <w:r>
        <w:rPr>
          <w:rFonts w:hint="eastAsia"/>
        </w:rPr>
        <w:t>；有在京经历的学生认知度为</w:t>
      </w:r>
      <w:r>
        <w:rPr>
          <w:rFonts w:hint="eastAsia"/>
        </w:rPr>
        <w:t>73.3%</w:t>
      </w:r>
      <w:r>
        <w:rPr>
          <w:rFonts w:hint="eastAsia"/>
        </w:rPr>
        <w:t>，远高于无在京经历者的</w:t>
      </w:r>
      <w:r>
        <w:rPr>
          <w:rFonts w:hint="eastAsia"/>
        </w:rPr>
        <w:t>14.8%</w:t>
      </w:r>
      <w:r>
        <w:rPr>
          <w:rFonts w:hint="eastAsia"/>
        </w:rPr>
        <w:t>。在认知内容上，知名地标（如央视大楼、国贸建筑群）提及率最高，为</w:t>
      </w:r>
      <w:r>
        <w:rPr>
          <w:rFonts w:hint="eastAsia"/>
        </w:rPr>
        <w:t>75.6%</w:t>
      </w:r>
      <w:r>
        <w:rPr>
          <w:rFonts w:hint="eastAsia"/>
        </w:rPr>
        <w:t>；经济产业（如</w:t>
      </w:r>
      <w:r>
        <w:rPr>
          <w:rFonts w:hint="eastAsia"/>
        </w:rPr>
        <w:t>CBD</w:t>
      </w:r>
      <w:r>
        <w:rPr>
          <w:rFonts w:hint="eastAsia"/>
        </w:rPr>
        <w:t>、跨国公司）提及率为</w:t>
      </w:r>
      <w:r>
        <w:rPr>
          <w:rFonts w:hint="eastAsia"/>
        </w:rPr>
        <w:t>47.8%</w:t>
      </w:r>
      <w:r>
        <w:rPr>
          <w:rFonts w:hint="eastAsia"/>
        </w:rPr>
        <w:t>；生活环境（如商圈、公园）为</w:t>
      </w:r>
      <w:r>
        <w:rPr>
          <w:rFonts w:hint="eastAsia"/>
        </w:rPr>
        <w:lastRenderedPageBreak/>
        <w:t>40.0%</w:t>
      </w:r>
      <w:r>
        <w:rPr>
          <w:rFonts w:hint="eastAsia"/>
        </w:rPr>
        <w:t>；文化与教育（如使馆区、高校）为</w:t>
      </w:r>
      <w:r>
        <w:rPr>
          <w:rFonts w:hint="eastAsia"/>
        </w:rPr>
        <w:t>38.9%</w:t>
      </w:r>
      <w:r>
        <w:rPr>
          <w:rFonts w:hint="eastAsia"/>
        </w:rPr>
        <w:t>。分群体看，</w:t>
      </w:r>
      <w:proofErr w:type="gramStart"/>
      <w:r>
        <w:rPr>
          <w:rFonts w:hint="eastAsia"/>
        </w:rPr>
        <w:t>京内院校</w:t>
      </w:r>
      <w:proofErr w:type="gramEnd"/>
      <w:r>
        <w:rPr>
          <w:rFonts w:hint="eastAsia"/>
        </w:rPr>
        <w:t>学生对经济产业的提及率（</w:t>
      </w:r>
      <w:r>
        <w:rPr>
          <w:rFonts w:hint="eastAsia"/>
        </w:rPr>
        <w:t>61.5%</w:t>
      </w:r>
      <w:r>
        <w:rPr>
          <w:rFonts w:hint="eastAsia"/>
        </w:rPr>
        <w:t>）高于京外院校学生（</w:t>
      </w:r>
      <w:r>
        <w:rPr>
          <w:rFonts w:hint="eastAsia"/>
        </w:rPr>
        <w:t>45.5%</w:t>
      </w:r>
      <w:r>
        <w:rPr>
          <w:rFonts w:hint="eastAsia"/>
        </w:rPr>
        <w:t>），而对知名地标的提及率（</w:t>
      </w:r>
      <w:r>
        <w:rPr>
          <w:rFonts w:hint="eastAsia"/>
        </w:rPr>
        <w:t>53.8%</w:t>
      </w:r>
      <w:r>
        <w:rPr>
          <w:rFonts w:hint="eastAsia"/>
        </w:rPr>
        <w:t>）低于京外院校（</w:t>
      </w:r>
      <w:r>
        <w:rPr>
          <w:rFonts w:hint="eastAsia"/>
        </w:rPr>
        <w:t>79.2%</w:t>
      </w:r>
      <w:r>
        <w:rPr>
          <w:rFonts w:hint="eastAsia"/>
        </w:rPr>
        <w:t>）。高认知人群在经济产业（</w:t>
      </w:r>
      <w:r>
        <w:rPr>
          <w:rFonts w:hint="eastAsia"/>
        </w:rPr>
        <w:t>60.6%</w:t>
      </w:r>
      <w:r>
        <w:rPr>
          <w:rFonts w:hint="eastAsia"/>
        </w:rPr>
        <w:t>）、文化与教育（</w:t>
      </w:r>
      <w:r>
        <w:rPr>
          <w:rFonts w:hint="eastAsia"/>
        </w:rPr>
        <w:t>51.5%</w:t>
      </w:r>
      <w:r>
        <w:rPr>
          <w:rFonts w:hint="eastAsia"/>
        </w:rPr>
        <w:t>）和生活环境（</w:t>
      </w:r>
      <w:r>
        <w:rPr>
          <w:rFonts w:hint="eastAsia"/>
        </w:rPr>
        <w:t>45.5%</w:t>
      </w:r>
      <w:r>
        <w:rPr>
          <w:rFonts w:hint="eastAsia"/>
        </w:rPr>
        <w:t>）维度的提及率均高于低认知人群。</w:t>
      </w:r>
    </w:p>
    <w:p w:rsidR="00D93B61" w:rsidRPr="00C772B6" w:rsidRDefault="00D93B61" w:rsidP="00D93B61">
      <w:pPr>
        <w:pStyle w:val="2"/>
        <w:ind w:firstLineChars="0" w:firstLine="640"/>
        <w:rPr>
          <w:rFonts w:hint="eastAsia"/>
        </w:rPr>
      </w:pPr>
      <w:r>
        <w:rPr>
          <w:rFonts w:hint="eastAsia"/>
        </w:rPr>
        <w:t>（</w:t>
      </w:r>
      <w:r>
        <w:rPr>
          <w:rFonts w:hint="eastAsia"/>
        </w:rPr>
        <w:t>二</w:t>
      </w:r>
      <w:r>
        <w:rPr>
          <w:rFonts w:hint="eastAsia"/>
        </w:rPr>
        <w:t>）</w:t>
      </w:r>
      <w:r w:rsidRPr="00D93B61">
        <w:rPr>
          <w:rFonts w:hint="eastAsia"/>
        </w:rPr>
        <w:t>就业意愿</w:t>
      </w:r>
      <w:r>
        <w:rPr>
          <w:rFonts w:hint="eastAsia"/>
        </w:rPr>
        <w:t>分析</w:t>
      </w:r>
    </w:p>
    <w:p w:rsidR="00D93B61" w:rsidRPr="00C772B6" w:rsidRDefault="00D93B61" w:rsidP="00D93B61">
      <w:pPr>
        <w:pStyle w:val="a3"/>
        <w:ind w:firstLine="616"/>
        <w:rPr>
          <w:rFonts w:hint="eastAsia"/>
        </w:rPr>
      </w:pPr>
      <w:r>
        <w:rPr>
          <w:rFonts w:hint="eastAsia"/>
        </w:rPr>
        <w:t>73.3%</w:t>
      </w:r>
      <w:r>
        <w:rPr>
          <w:rFonts w:hint="eastAsia"/>
        </w:rPr>
        <w:t>的目标人才将朝阳区列为求职重要意向地。其中，将朝阳区作为“求职首选”的占</w:t>
      </w:r>
      <w:r>
        <w:rPr>
          <w:rFonts w:hint="eastAsia"/>
        </w:rPr>
        <w:t>23.3%</w:t>
      </w:r>
      <w:r>
        <w:rPr>
          <w:rFonts w:hint="eastAsia"/>
        </w:rPr>
        <w:t>，作为“选择之一”的占</w:t>
      </w:r>
      <w:r>
        <w:rPr>
          <w:rFonts w:hint="eastAsia"/>
        </w:rPr>
        <w:t>50.0%</w:t>
      </w:r>
      <w:r>
        <w:rPr>
          <w:rFonts w:hint="eastAsia"/>
        </w:rPr>
        <w:t>，“暂不考虑”的占</w:t>
      </w:r>
      <w:r>
        <w:rPr>
          <w:rFonts w:hint="eastAsia"/>
        </w:rPr>
        <w:t>26.7%</w:t>
      </w:r>
      <w:r>
        <w:rPr>
          <w:rFonts w:hint="eastAsia"/>
        </w:rPr>
        <w:t>。分群体看，</w:t>
      </w:r>
      <w:proofErr w:type="gramStart"/>
      <w:r>
        <w:rPr>
          <w:rFonts w:hint="eastAsia"/>
        </w:rPr>
        <w:t>京内院校</w:t>
      </w:r>
      <w:proofErr w:type="gramEnd"/>
      <w:r>
        <w:rPr>
          <w:rFonts w:hint="eastAsia"/>
        </w:rPr>
        <w:t>学生将朝阳区作为“求职首选”的比例为</w:t>
      </w:r>
      <w:r>
        <w:rPr>
          <w:rFonts w:hint="eastAsia"/>
        </w:rPr>
        <w:t>38.5%</w:t>
      </w:r>
      <w:r>
        <w:rPr>
          <w:rFonts w:hint="eastAsia"/>
        </w:rPr>
        <w:t>，高于京外院校学生的</w:t>
      </w:r>
      <w:r>
        <w:rPr>
          <w:rFonts w:hint="eastAsia"/>
        </w:rPr>
        <w:t>20.8%</w:t>
      </w:r>
      <w:r>
        <w:rPr>
          <w:rFonts w:hint="eastAsia"/>
        </w:rPr>
        <w:t>；本科生将该区作为“求职首选”的比例为</w:t>
      </w:r>
      <w:r>
        <w:rPr>
          <w:rFonts w:hint="eastAsia"/>
        </w:rPr>
        <w:t>35.6%</w:t>
      </w:r>
      <w:r>
        <w:rPr>
          <w:rFonts w:hint="eastAsia"/>
        </w:rPr>
        <w:t>，高于研究生的</w:t>
      </w:r>
      <w:r>
        <w:rPr>
          <w:rFonts w:hint="eastAsia"/>
        </w:rPr>
        <w:t>11.1%</w:t>
      </w:r>
      <w:r>
        <w:rPr>
          <w:rFonts w:hint="eastAsia"/>
        </w:rPr>
        <w:t>；人文社科类学生中“求职首选”比例为</w:t>
      </w:r>
      <w:r>
        <w:rPr>
          <w:rFonts w:hint="eastAsia"/>
        </w:rPr>
        <w:t>33.3%</w:t>
      </w:r>
      <w:r>
        <w:rPr>
          <w:rFonts w:hint="eastAsia"/>
        </w:rPr>
        <w:t>，高于理工类（</w:t>
      </w:r>
      <w:r>
        <w:rPr>
          <w:rFonts w:hint="eastAsia"/>
        </w:rPr>
        <w:t>23.2%</w:t>
      </w:r>
      <w:r>
        <w:rPr>
          <w:rFonts w:hint="eastAsia"/>
        </w:rPr>
        <w:t>）和经管类（</w:t>
      </w:r>
      <w:r>
        <w:rPr>
          <w:rFonts w:hint="eastAsia"/>
        </w:rPr>
        <w:t>15.4%</w:t>
      </w:r>
      <w:r>
        <w:rPr>
          <w:rFonts w:hint="eastAsia"/>
        </w:rPr>
        <w:t>）。</w:t>
      </w:r>
    </w:p>
    <w:p w:rsidR="00D93B61" w:rsidRPr="00C772B6" w:rsidRDefault="00D93B61" w:rsidP="00D93B61">
      <w:pPr>
        <w:pStyle w:val="2"/>
        <w:ind w:firstLineChars="0" w:firstLine="640"/>
        <w:rPr>
          <w:rFonts w:hint="eastAsia"/>
        </w:rPr>
      </w:pPr>
      <w:r>
        <w:rPr>
          <w:rFonts w:hint="eastAsia"/>
        </w:rPr>
        <w:t>（</w:t>
      </w:r>
      <w:r>
        <w:rPr>
          <w:rFonts w:hint="eastAsia"/>
        </w:rPr>
        <w:t>三</w:t>
      </w:r>
      <w:r>
        <w:rPr>
          <w:rFonts w:hint="eastAsia"/>
        </w:rPr>
        <w:t>）</w:t>
      </w:r>
      <w:r w:rsidRPr="00D93B61">
        <w:rPr>
          <w:rFonts w:hint="eastAsia"/>
        </w:rPr>
        <w:t>择业偏好</w:t>
      </w:r>
      <w:r>
        <w:rPr>
          <w:rFonts w:hint="eastAsia"/>
        </w:rPr>
        <w:t>分析</w:t>
      </w:r>
    </w:p>
    <w:p w:rsidR="00D93B61" w:rsidRPr="00C772B6" w:rsidRDefault="00D93B61" w:rsidP="00D93B61">
      <w:pPr>
        <w:pStyle w:val="a3"/>
        <w:ind w:firstLine="616"/>
        <w:rPr>
          <w:rFonts w:hint="eastAsia"/>
        </w:rPr>
      </w:pPr>
      <w:r>
        <w:rPr>
          <w:rFonts w:hint="eastAsia"/>
        </w:rPr>
        <w:t>在求职决策因素中，发展前景、工作环境、薪资福利是三大关键因素，选择比例均超过</w:t>
      </w:r>
      <w:r>
        <w:rPr>
          <w:rFonts w:hint="eastAsia"/>
        </w:rPr>
        <w:t>60%</w:t>
      </w:r>
      <w:r>
        <w:rPr>
          <w:rFonts w:hint="eastAsia"/>
        </w:rPr>
        <w:t>。在吸引力维度上，薪酬待遇、职业发展空间、活力包容程度、就业岗位丰富度得分较高。具体来看，在愿意来朝阳区就业的目标人才中，“薪酬和福利待遇好”与“职业发展空间大”并列为首要吸引因素，提及率均为</w:t>
      </w:r>
      <w:r>
        <w:rPr>
          <w:rFonts w:hint="eastAsia"/>
        </w:rPr>
        <w:t>84.8%</w:t>
      </w:r>
      <w:r>
        <w:rPr>
          <w:rFonts w:hint="eastAsia"/>
        </w:rPr>
        <w:t>；“专业对口岗位多”提及率为</w:t>
      </w:r>
      <w:r>
        <w:rPr>
          <w:rFonts w:hint="eastAsia"/>
        </w:rPr>
        <w:t>65.2%</w:t>
      </w:r>
      <w:r>
        <w:rPr>
          <w:rFonts w:hint="eastAsia"/>
        </w:rPr>
        <w:t>；“喜欢朝阳区生活环境”提及率为</w:t>
      </w:r>
      <w:r>
        <w:rPr>
          <w:rFonts w:hint="eastAsia"/>
        </w:rPr>
        <w:t>48.5%</w:t>
      </w:r>
      <w:r>
        <w:rPr>
          <w:rFonts w:hint="eastAsia"/>
        </w:rPr>
        <w:t>。分群体看，女性对“职业发展空间”（</w:t>
      </w:r>
      <w:r>
        <w:rPr>
          <w:rFonts w:hint="eastAsia"/>
        </w:rPr>
        <w:t>96.7%</w:t>
      </w:r>
      <w:r>
        <w:rPr>
          <w:rFonts w:hint="eastAsia"/>
        </w:rPr>
        <w:t>）和“专业对口岗位多”（</w:t>
      </w:r>
      <w:r>
        <w:rPr>
          <w:rFonts w:hint="eastAsia"/>
        </w:rPr>
        <w:t>80.0%</w:t>
      </w:r>
      <w:r>
        <w:rPr>
          <w:rFonts w:hint="eastAsia"/>
        </w:rPr>
        <w:t>）的关注度高于男性；研究生对“职业发展空</w:t>
      </w:r>
      <w:r>
        <w:rPr>
          <w:rFonts w:hint="eastAsia"/>
        </w:rPr>
        <w:lastRenderedPageBreak/>
        <w:t>间”（</w:t>
      </w:r>
      <w:r>
        <w:rPr>
          <w:rFonts w:hint="eastAsia"/>
        </w:rPr>
        <w:t>96.7%</w:t>
      </w:r>
      <w:r>
        <w:rPr>
          <w:rFonts w:hint="eastAsia"/>
        </w:rPr>
        <w:t>）和“薪酬和福利待遇”（</w:t>
      </w:r>
      <w:r>
        <w:rPr>
          <w:rFonts w:hint="eastAsia"/>
        </w:rPr>
        <w:t>90.0%</w:t>
      </w:r>
      <w:r>
        <w:rPr>
          <w:rFonts w:hint="eastAsia"/>
        </w:rPr>
        <w:t>）的关注度高于本科生；京外院校学生对“薪酬和福利待遇”（</w:t>
      </w:r>
      <w:r>
        <w:rPr>
          <w:rFonts w:hint="eastAsia"/>
        </w:rPr>
        <w:t>91.2%</w:t>
      </w:r>
      <w:r>
        <w:rPr>
          <w:rFonts w:hint="eastAsia"/>
        </w:rPr>
        <w:t>）和“职业发展空间”（</w:t>
      </w:r>
      <w:r>
        <w:rPr>
          <w:rFonts w:hint="eastAsia"/>
        </w:rPr>
        <w:t>91.2%</w:t>
      </w:r>
      <w:r>
        <w:rPr>
          <w:rFonts w:hint="eastAsia"/>
        </w:rPr>
        <w:t>）的关注</w:t>
      </w:r>
      <w:proofErr w:type="gramStart"/>
      <w:r>
        <w:rPr>
          <w:rFonts w:hint="eastAsia"/>
        </w:rPr>
        <w:t>度显著高于京内</w:t>
      </w:r>
      <w:proofErr w:type="gramEnd"/>
      <w:r>
        <w:rPr>
          <w:rFonts w:hint="eastAsia"/>
        </w:rPr>
        <w:t>院校学生（均为</w:t>
      </w:r>
      <w:r>
        <w:rPr>
          <w:rFonts w:hint="eastAsia"/>
        </w:rPr>
        <w:t>44.4%</w:t>
      </w:r>
      <w:r>
        <w:rPr>
          <w:rFonts w:hint="eastAsia"/>
        </w:rPr>
        <w:t>）。</w:t>
      </w:r>
    </w:p>
    <w:p w:rsidR="00D93B61" w:rsidRPr="00C772B6" w:rsidRDefault="00D93B61" w:rsidP="00D93B61">
      <w:pPr>
        <w:pStyle w:val="2"/>
        <w:ind w:firstLineChars="0" w:firstLine="640"/>
        <w:rPr>
          <w:rFonts w:hint="eastAsia"/>
        </w:rPr>
      </w:pPr>
      <w:r>
        <w:rPr>
          <w:rFonts w:hint="eastAsia"/>
        </w:rPr>
        <w:t>（</w:t>
      </w:r>
      <w:r>
        <w:rPr>
          <w:rFonts w:hint="eastAsia"/>
        </w:rPr>
        <w:t>四</w:t>
      </w:r>
      <w:r>
        <w:rPr>
          <w:rFonts w:hint="eastAsia"/>
        </w:rPr>
        <w:t>）</w:t>
      </w:r>
      <w:r>
        <w:rPr>
          <w:rFonts w:hint="eastAsia"/>
        </w:rPr>
        <w:t>就业</w:t>
      </w:r>
      <w:r w:rsidRPr="00D93B61">
        <w:rPr>
          <w:rFonts w:hint="eastAsia"/>
        </w:rPr>
        <w:t>主要顾虑</w:t>
      </w:r>
    </w:p>
    <w:p w:rsidR="00D93B61" w:rsidRPr="00C772B6" w:rsidRDefault="00D93B61" w:rsidP="00D93B61">
      <w:pPr>
        <w:pStyle w:val="a3"/>
        <w:ind w:firstLine="616"/>
        <w:rPr>
          <w:rFonts w:hint="eastAsia"/>
        </w:rPr>
      </w:pPr>
      <w:r>
        <w:rPr>
          <w:rFonts w:hint="eastAsia"/>
        </w:rPr>
        <w:t>暂不考虑来朝阳就业的人才中，主要顾虑因素如下：生活成本</w:t>
      </w:r>
      <w:proofErr w:type="gramStart"/>
      <w:r>
        <w:rPr>
          <w:rFonts w:hint="eastAsia"/>
        </w:rPr>
        <w:t>过高占</w:t>
      </w:r>
      <w:proofErr w:type="gramEnd"/>
      <w:r>
        <w:rPr>
          <w:rFonts w:hint="eastAsia"/>
        </w:rPr>
        <w:t>33.3%</w:t>
      </w:r>
      <w:r>
        <w:rPr>
          <w:rFonts w:hint="eastAsia"/>
        </w:rPr>
        <w:t>，通勤时间过长占</w:t>
      </w:r>
      <w:r>
        <w:rPr>
          <w:rFonts w:hint="eastAsia"/>
        </w:rPr>
        <w:t>29.2%</w:t>
      </w:r>
      <w:r>
        <w:rPr>
          <w:rFonts w:hint="eastAsia"/>
        </w:rPr>
        <w:t>，环境过于拥挤和商业化占</w:t>
      </w:r>
      <w:r>
        <w:rPr>
          <w:rFonts w:hint="eastAsia"/>
        </w:rPr>
        <w:t>20.8%</w:t>
      </w:r>
      <w:r>
        <w:rPr>
          <w:rFonts w:hint="eastAsia"/>
        </w:rPr>
        <w:t>，已有其他意向城市或城区占</w:t>
      </w:r>
      <w:r>
        <w:rPr>
          <w:rFonts w:hint="eastAsia"/>
        </w:rPr>
        <w:t>16.7%</w:t>
      </w:r>
      <w:r>
        <w:rPr>
          <w:rFonts w:hint="eastAsia"/>
        </w:rPr>
        <w:t>，对朝阳</w:t>
      </w:r>
      <w:proofErr w:type="gramStart"/>
      <w:r>
        <w:rPr>
          <w:rFonts w:hint="eastAsia"/>
        </w:rPr>
        <w:t>区产业</w:t>
      </w:r>
      <w:proofErr w:type="gramEnd"/>
      <w:r>
        <w:rPr>
          <w:rFonts w:hint="eastAsia"/>
        </w:rPr>
        <w:t>不了解占</w:t>
      </w:r>
      <w:r>
        <w:rPr>
          <w:rFonts w:hint="eastAsia"/>
        </w:rPr>
        <w:t>12.5%</w:t>
      </w:r>
      <w:r>
        <w:rPr>
          <w:rFonts w:hint="eastAsia"/>
        </w:rPr>
        <w:t>。分群体看，经管类学生对各项因素的顾虑程度明显更高，其中对“生活成本过高”和“通勤时间过长”的提及较为普遍，对“环境过于拥挤和商业化”的提及率高达</w:t>
      </w:r>
      <w:r>
        <w:rPr>
          <w:rFonts w:hint="eastAsia"/>
        </w:rPr>
        <w:t>60%</w:t>
      </w:r>
      <w:r>
        <w:rPr>
          <w:rFonts w:hint="eastAsia"/>
        </w:rPr>
        <w:t>。</w:t>
      </w:r>
      <w:proofErr w:type="gramStart"/>
      <w:r>
        <w:rPr>
          <w:rFonts w:hint="eastAsia"/>
        </w:rPr>
        <w:t>京内院校</w:t>
      </w:r>
      <w:proofErr w:type="gramEnd"/>
      <w:r>
        <w:rPr>
          <w:rFonts w:hint="eastAsia"/>
        </w:rPr>
        <w:t>学生对“生活成本过高”、“通勤时间过长”和“环境过于拥挤和商业化”三项因素的提及率均为</w:t>
      </w:r>
      <w:r>
        <w:rPr>
          <w:rFonts w:hint="eastAsia"/>
        </w:rPr>
        <w:t>50.0%</w:t>
      </w:r>
      <w:r>
        <w:rPr>
          <w:rFonts w:hint="eastAsia"/>
        </w:rPr>
        <w:t>，显著高于京外院校学生。</w:t>
      </w:r>
    </w:p>
    <w:p w:rsidR="00D93B61" w:rsidRPr="00C772B6" w:rsidRDefault="00D93B61" w:rsidP="00D93B61">
      <w:pPr>
        <w:pStyle w:val="2"/>
        <w:ind w:firstLineChars="0" w:firstLine="640"/>
        <w:rPr>
          <w:rFonts w:hint="eastAsia"/>
        </w:rPr>
      </w:pPr>
      <w:r>
        <w:rPr>
          <w:rFonts w:hint="eastAsia"/>
        </w:rPr>
        <w:t>（</w:t>
      </w:r>
      <w:r>
        <w:rPr>
          <w:rFonts w:hint="eastAsia"/>
        </w:rPr>
        <w:t>五</w:t>
      </w:r>
      <w:r>
        <w:rPr>
          <w:rFonts w:hint="eastAsia"/>
        </w:rPr>
        <w:t>）</w:t>
      </w:r>
      <w:r w:rsidRPr="00D93B61">
        <w:rPr>
          <w:rFonts w:hint="eastAsia"/>
        </w:rPr>
        <w:t>政策诉求</w:t>
      </w:r>
      <w:r>
        <w:rPr>
          <w:rFonts w:hint="eastAsia"/>
        </w:rPr>
        <w:t>分析</w:t>
      </w:r>
    </w:p>
    <w:p w:rsidR="00D93B61" w:rsidRDefault="00D93B61" w:rsidP="00D93B61">
      <w:pPr>
        <w:pStyle w:val="a3"/>
        <w:ind w:firstLine="616"/>
      </w:pPr>
      <w:r>
        <w:rPr>
          <w:rFonts w:hint="eastAsia"/>
        </w:rPr>
        <w:t>在提升引才效能的各项建议中，“提供更多人才公寓或租房补贴”提及率最高，为</w:t>
      </w:r>
      <w:r>
        <w:rPr>
          <w:rFonts w:hint="eastAsia"/>
        </w:rPr>
        <w:t>88.5%</w:t>
      </w:r>
      <w:r>
        <w:rPr>
          <w:rFonts w:hint="eastAsia"/>
        </w:rPr>
        <w:t>；“提供更多北京落户机会”居第二位，提及率为</w:t>
      </w:r>
      <w:r>
        <w:rPr>
          <w:rFonts w:hint="eastAsia"/>
        </w:rPr>
        <w:t>59.6%</w:t>
      </w:r>
      <w:r>
        <w:rPr>
          <w:rFonts w:hint="eastAsia"/>
        </w:rPr>
        <w:t>；“提供更多与专业相关的岗位信息”为</w:t>
      </w:r>
      <w:r>
        <w:rPr>
          <w:rFonts w:hint="eastAsia"/>
        </w:rPr>
        <w:t>50.0%</w:t>
      </w:r>
      <w:r>
        <w:rPr>
          <w:rFonts w:hint="eastAsia"/>
        </w:rPr>
        <w:t>；“优化交通，解决最后一公里通勤”为</w:t>
      </w:r>
      <w:r>
        <w:rPr>
          <w:rFonts w:hint="eastAsia"/>
        </w:rPr>
        <w:t>44.2%</w:t>
      </w:r>
      <w:r>
        <w:rPr>
          <w:rFonts w:hint="eastAsia"/>
        </w:rPr>
        <w:t>；“组织更多校企对接活动”为</w:t>
      </w:r>
      <w:r>
        <w:rPr>
          <w:rFonts w:hint="eastAsia"/>
        </w:rPr>
        <w:t>42.3%</w:t>
      </w:r>
      <w:r>
        <w:rPr>
          <w:rFonts w:hint="eastAsia"/>
        </w:rPr>
        <w:t>；“加大区域宣传，让学生更了解朝阳区”为</w:t>
      </w:r>
      <w:r>
        <w:rPr>
          <w:rFonts w:hint="eastAsia"/>
        </w:rPr>
        <w:t>27.9%</w:t>
      </w:r>
      <w:r>
        <w:rPr>
          <w:rFonts w:hint="eastAsia"/>
        </w:rPr>
        <w:t>。分群体看，研究生对“提供更多人才公寓或租房补贴”（</w:t>
      </w:r>
      <w:r>
        <w:rPr>
          <w:rFonts w:hint="eastAsia"/>
        </w:rPr>
        <w:t>90.2%</w:t>
      </w:r>
      <w:r>
        <w:rPr>
          <w:rFonts w:hint="eastAsia"/>
        </w:rPr>
        <w:t>）、“组织更多校企对接活动”（</w:t>
      </w:r>
      <w:r>
        <w:rPr>
          <w:rFonts w:hint="eastAsia"/>
        </w:rPr>
        <w:t>52.9%</w:t>
      </w:r>
      <w:r>
        <w:rPr>
          <w:rFonts w:hint="eastAsia"/>
        </w:rPr>
        <w:t>）、“优化交通，解决最后一公里通勤”（</w:t>
      </w:r>
      <w:r>
        <w:rPr>
          <w:rFonts w:hint="eastAsia"/>
        </w:rPr>
        <w:t>49.0%</w:t>
      </w:r>
      <w:r>
        <w:rPr>
          <w:rFonts w:hint="eastAsia"/>
        </w:rPr>
        <w:t>）的诉求略高于本科生；经管类学生对“提供更多与专业相关的岗位信息”（</w:t>
      </w:r>
      <w:r>
        <w:rPr>
          <w:rFonts w:hint="eastAsia"/>
        </w:rPr>
        <w:t>78.6%</w:t>
      </w:r>
      <w:r>
        <w:rPr>
          <w:rFonts w:hint="eastAsia"/>
        </w:rPr>
        <w:t>）、“提供更多北京落户机会”</w:t>
      </w:r>
      <w:r>
        <w:rPr>
          <w:rFonts w:hint="eastAsia"/>
        </w:rPr>
        <w:lastRenderedPageBreak/>
        <w:t>（</w:t>
      </w:r>
      <w:r>
        <w:rPr>
          <w:rFonts w:hint="eastAsia"/>
        </w:rPr>
        <w:t>71.4%</w:t>
      </w:r>
      <w:r>
        <w:rPr>
          <w:rFonts w:hint="eastAsia"/>
        </w:rPr>
        <w:t>）的需求较为突出；京外院校学生对“提供更多北京落户机会”（</w:t>
      </w:r>
      <w:r>
        <w:rPr>
          <w:rFonts w:hint="eastAsia"/>
        </w:rPr>
        <w:t>61.5%</w:t>
      </w:r>
      <w:r>
        <w:rPr>
          <w:rFonts w:hint="eastAsia"/>
        </w:rPr>
        <w:t>）、“组织更多校企对接活动”（</w:t>
      </w:r>
      <w:r>
        <w:rPr>
          <w:rFonts w:hint="eastAsia"/>
        </w:rPr>
        <w:t>46.2%</w:t>
      </w:r>
      <w:r>
        <w:rPr>
          <w:rFonts w:hint="eastAsia"/>
        </w:rPr>
        <w:t>）的需求</w:t>
      </w:r>
      <w:proofErr w:type="gramStart"/>
      <w:r>
        <w:rPr>
          <w:rFonts w:hint="eastAsia"/>
        </w:rPr>
        <w:t>高于京内院校</w:t>
      </w:r>
      <w:proofErr w:type="gramEnd"/>
      <w:r>
        <w:rPr>
          <w:rFonts w:hint="eastAsia"/>
        </w:rPr>
        <w:t>学生。</w:t>
      </w:r>
    </w:p>
    <w:p w:rsidR="004A2D7D" w:rsidRDefault="004A2D7D" w:rsidP="004A2D7D">
      <w:pPr>
        <w:pStyle w:val="1"/>
        <w:ind w:firstLineChars="0" w:firstLine="640"/>
      </w:pPr>
      <w:r>
        <w:rPr>
          <w:rFonts w:hint="eastAsia"/>
        </w:rPr>
        <w:t>七、</w:t>
      </w:r>
      <w:r>
        <w:rPr>
          <w:rFonts w:hint="eastAsia"/>
        </w:rPr>
        <w:t>主要结论</w:t>
      </w:r>
    </w:p>
    <w:p w:rsidR="004A2D7D" w:rsidRPr="004A2D7D" w:rsidRDefault="004A2D7D" w:rsidP="004A2D7D">
      <w:pPr>
        <w:pStyle w:val="a3"/>
        <w:ind w:firstLine="616"/>
        <w:rPr>
          <w:rFonts w:hint="eastAsia"/>
          <w:color w:val="1F2329"/>
        </w:rPr>
      </w:pPr>
      <w:r w:rsidRPr="004A2D7D">
        <w:rPr>
          <w:rFonts w:hint="eastAsia"/>
          <w:color w:val="1F2329"/>
        </w:rPr>
        <w:t>一是人才供给总量充裕，校地学科匹配度高，定向引聘基础稳固。经统计，</w:t>
      </w:r>
      <w:r w:rsidR="00961855" w:rsidRPr="00961855">
        <w:rPr>
          <w:rFonts w:hint="eastAsia"/>
          <w:color w:val="1F2329"/>
        </w:rPr>
        <w:t>2026</w:t>
      </w:r>
      <w:r w:rsidR="00961855" w:rsidRPr="00961855">
        <w:rPr>
          <w:rFonts w:hint="eastAsia"/>
          <w:color w:val="1F2329"/>
        </w:rPr>
        <w:t>届国内双一流高校与朝阳区</w:t>
      </w:r>
      <w:r w:rsidR="00961855" w:rsidRPr="00961855">
        <w:rPr>
          <w:rFonts w:hint="eastAsia"/>
          <w:color w:val="1F2329"/>
        </w:rPr>
        <w:t>14</w:t>
      </w:r>
      <w:r w:rsidR="00961855" w:rsidRPr="00961855">
        <w:rPr>
          <w:rFonts w:hint="eastAsia"/>
          <w:color w:val="1F2329"/>
        </w:rPr>
        <w:t>个重点产业相关的专业毕业生总规模约</w:t>
      </w:r>
      <w:r w:rsidR="00961855" w:rsidRPr="00961855">
        <w:rPr>
          <w:rFonts w:hint="eastAsia"/>
          <w:color w:val="1F2329"/>
        </w:rPr>
        <w:t>98</w:t>
      </w:r>
      <w:r w:rsidR="00961855" w:rsidRPr="00961855">
        <w:rPr>
          <w:rFonts w:hint="eastAsia"/>
          <w:color w:val="1F2329"/>
        </w:rPr>
        <w:t>万人，境外</w:t>
      </w:r>
      <w:r w:rsidR="00961855" w:rsidRPr="00961855">
        <w:rPr>
          <w:rFonts w:hint="eastAsia"/>
          <w:color w:val="1F2329"/>
        </w:rPr>
        <w:t>QS</w:t>
      </w:r>
      <w:r w:rsidR="00961855" w:rsidRPr="00961855">
        <w:rPr>
          <w:rFonts w:hint="eastAsia"/>
          <w:color w:val="1F2329"/>
        </w:rPr>
        <w:t>前</w:t>
      </w:r>
      <w:r w:rsidR="00961855" w:rsidRPr="00961855">
        <w:rPr>
          <w:rFonts w:hint="eastAsia"/>
          <w:color w:val="1F2329"/>
        </w:rPr>
        <w:t>200</w:t>
      </w:r>
      <w:r w:rsidR="00961855" w:rsidRPr="00961855">
        <w:rPr>
          <w:rFonts w:hint="eastAsia"/>
          <w:color w:val="1F2329"/>
        </w:rPr>
        <w:t>院校相关专业归国留学生总规模约</w:t>
      </w:r>
      <w:r w:rsidR="00961855" w:rsidRPr="00961855">
        <w:rPr>
          <w:rFonts w:hint="eastAsia"/>
          <w:color w:val="1F2329"/>
        </w:rPr>
        <w:t>22</w:t>
      </w:r>
      <w:r w:rsidR="00961855" w:rsidRPr="00961855">
        <w:rPr>
          <w:rFonts w:hint="eastAsia"/>
          <w:color w:val="1F2329"/>
        </w:rPr>
        <w:t>万人</w:t>
      </w:r>
      <w:r w:rsidRPr="004A2D7D">
        <w:rPr>
          <w:rFonts w:hint="eastAsia"/>
          <w:color w:val="1F2329"/>
        </w:rPr>
        <w:t>。从结构分布看，北京高校凭借地缘优势与较高留京意愿，构成人才引进稳定基本盘；浙江大学、上海交通大学等高水平综合性大学学科布局全面，涵盖所有重点产业领域，是支撑区域产业协同发展的战略性资源。中国香港、新加坡、英国、澳大利亚等国家和地区院校在跨境金融、绿色金融、金融工程等细分领域特色鲜明，与朝阳区国际消费中心城市主承载区及“两区”建设国际化定位高度契合。综合来看，朝阳区</w:t>
      </w:r>
      <w:r w:rsidRPr="004A2D7D">
        <w:rPr>
          <w:rFonts w:hint="eastAsia"/>
          <w:color w:val="1F2329"/>
        </w:rPr>
        <w:t>14</w:t>
      </w:r>
      <w:r w:rsidRPr="004A2D7D">
        <w:rPr>
          <w:rFonts w:hint="eastAsia"/>
          <w:color w:val="1F2329"/>
        </w:rPr>
        <w:t>个重点产业具备坚实的人才供给基础，为实施精准化、定向化引才提供了有力支撑。</w:t>
      </w:r>
    </w:p>
    <w:p w:rsidR="004A2D7D" w:rsidRPr="004A2D7D" w:rsidRDefault="004A2D7D" w:rsidP="004A2D7D">
      <w:pPr>
        <w:pStyle w:val="a3"/>
        <w:ind w:firstLine="616"/>
        <w:rPr>
          <w:rFonts w:hint="eastAsia"/>
          <w:color w:val="1F2329"/>
        </w:rPr>
      </w:pPr>
      <w:r w:rsidRPr="004A2D7D">
        <w:rPr>
          <w:rFonts w:hint="eastAsia"/>
          <w:color w:val="1F2329"/>
        </w:rPr>
        <w:t>二是人才就业意向整体向好，发展环境认可度高，但区域认知存在结构性偏差。调研显示，</w:t>
      </w:r>
      <w:r w:rsidRPr="004A2D7D">
        <w:rPr>
          <w:rFonts w:hint="eastAsia"/>
          <w:color w:val="1F2329"/>
        </w:rPr>
        <w:t>73.3%</w:t>
      </w:r>
      <w:r w:rsidRPr="004A2D7D">
        <w:rPr>
          <w:rFonts w:hint="eastAsia"/>
          <w:color w:val="1F2329"/>
        </w:rPr>
        <w:t>的目标人才将朝阳区列为重要求职意向地，区域人才吸引力较强。城市活力与包容性、岗位丰富度、生活便利度、薪酬水平等维度得分居前，反映目标人才对朝阳区就业环境与发展生态的普遍认同；薪酬待遇与职业发展空间已成为吸引人才的核心竞争力。与此同时，区域品牌认知存在结构性偏差，人才对央视大楼、国贸等传统地标认知度极高，对新一代信息</w:t>
      </w:r>
      <w:r w:rsidRPr="004A2D7D">
        <w:rPr>
          <w:rFonts w:hint="eastAsia"/>
          <w:color w:val="1F2329"/>
        </w:rPr>
        <w:lastRenderedPageBreak/>
        <w:t>技术、人工智能等新兴</w:t>
      </w:r>
      <w:proofErr w:type="gramStart"/>
      <w:r w:rsidRPr="004A2D7D">
        <w:rPr>
          <w:rFonts w:hint="eastAsia"/>
          <w:color w:val="1F2329"/>
        </w:rPr>
        <w:t>硬科技</w:t>
      </w:r>
      <w:proofErr w:type="gramEnd"/>
      <w:r w:rsidRPr="004A2D7D">
        <w:rPr>
          <w:rFonts w:hint="eastAsia"/>
          <w:color w:val="1F2329"/>
        </w:rPr>
        <w:t>产业感知度相对不足，呈现重商务地标、</w:t>
      </w:r>
      <w:proofErr w:type="gramStart"/>
      <w:r w:rsidRPr="004A2D7D">
        <w:rPr>
          <w:rFonts w:hint="eastAsia"/>
          <w:color w:val="1F2329"/>
        </w:rPr>
        <w:t>轻产业</w:t>
      </w:r>
      <w:proofErr w:type="gramEnd"/>
      <w:r w:rsidRPr="004A2D7D">
        <w:rPr>
          <w:rFonts w:hint="eastAsia"/>
          <w:color w:val="1F2329"/>
        </w:rPr>
        <w:t>内涵的特征。企业认知度呈现头部集中态势，大量优质中小企业及专精特新企业认知度偏低，校企对接渠道有待进一步拓展。</w:t>
      </w:r>
    </w:p>
    <w:p w:rsidR="004A2D7D" w:rsidRPr="00D93B61" w:rsidRDefault="004A2D7D" w:rsidP="004A2D7D">
      <w:pPr>
        <w:pStyle w:val="a3"/>
        <w:ind w:firstLine="616"/>
        <w:rPr>
          <w:rFonts w:hint="eastAsia"/>
        </w:rPr>
      </w:pPr>
      <w:r w:rsidRPr="004A2D7D">
        <w:rPr>
          <w:rFonts w:hint="eastAsia"/>
          <w:color w:val="1F2329"/>
        </w:rPr>
        <w:t>三是安居保障、落户政策</w:t>
      </w:r>
      <w:proofErr w:type="gramStart"/>
      <w:r w:rsidRPr="004A2D7D">
        <w:rPr>
          <w:rFonts w:hint="eastAsia"/>
          <w:color w:val="1F2329"/>
        </w:rPr>
        <w:t>与人岗匹配</w:t>
      </w:r>
      <w:proofErr w:type="gramEnd"/>
      <w:r w:rsidRPr="004A2D7D">
        <w:rPr>
          <w:rFonts w:hint="eastAsia"/>
          <w:color w:val="1F2329"/>
        </w:rPr>
        <w:t>度构成制约人才落地的关键因素。从政策诉求看，居住支持、落户机会与岗位匹配位列前三位，直接影响人才从意向到落地的转化。分群体而言，研究生对居住支持需求最为突出，经管类人才对岗位匹配与落户机会敏感度最高，非京籍的京外院校学生及归国留学生对落户政策的关注</w:t>
      </w:r>
      <w:proofErr w:type="gramStart"/>
      <w:r w:rsidRPr="004A2D7D">
        <w:rPr>
          <w:rFonts w:hint="eastAsia"/>
          <w:color w:val="1F2329"/>
        </w:rPr>
        <w:t>度显著</w:t>
      </w:r>
      <w:proofErr w:type="gramEnd"/>
      <w:r w:rsidRPr="004A2D7D">
        <w:rPr>
          <w:rFonts w:hint="eastAsia"/>
          <w:color w:val="1F2329"/>
        </w:rPr>
        <w:t>更高，落户指标对该群体具有较强的激励效应；针对性</w:t>
      </w:r>
      <w:proofErr w:type="gramStart"/>
      <w:r w:rsidRPr="004A2D7D">
        <w:rPr>
          <w:rFonts w:hint="eastAsia"/>
          <w:color w:val="1F2329"/>
        </w:rPr>
        <w:t>安居保障</w:t>
      </w:r>
      <w:proofErr w:type="gramEnd"/>
      <w:r w:rsidRPr="004A2D7D">
        <w:rPr>
          <w:rFonts w:hint="eastAsia"/>
          <w:color w:val="1F2329"/>
        </w:rPr>
        <w:t>与精细</w:t>
      </w:r>
      <w:proofErr w:type="gramStart"/>
      <w:r w:rsidRPr="004A2D7D">
        <w:rPr>
          <w:rFonts w:hint="eastAsia"/>
          <w:color w:val="1F2329"/>
        </w:rPr>
        <w:t>化人岗对</w:t>
      </w:r>
      <w:proofErr w:type="gramEnd"/>
      <w:r w:rsidRPr="004A2D7D">
        <w:rPr>
          <w:rFonts w:hint="eastAsia"/>
          <w:color w:val="1F2329"/>
        </w:rPr>
        <w:t>接服务，则是解决人才后顾之忧、增强区域引才竞争力的重要突破口。</w:t>
      </w:r>
    </w:p>
    <w:p w:rsidR="000E3AE8" w:rsidRDefault="004A2D7D" w:rsidP="001B5A5A">
      <w:pPr>
        <w:pStyle w:val="1"/>
        <w:ind w:firstLineChars="0" w:firstLine="640"/>
      </w:pPr>
      <w:r>
        <w:rPr>
          <w:rFonts w:hint="eastAsia"/>
        </w:rPr>
        <w:t>八</w:t>
      </w:r>
      <w:r w:rsidR="001B5A5A">
        <w:rPr>
          <w:rFonts w:hint="eastAsia"/>
        </w:rPr>
        <w:t>、</w:t>
      </w:r>
      <w:r w:rsidR="00497E53">
        <w:t>应用指引与落地举措</w:t>
      </w:r>
    </w:p>
    <w:p w:rsidR="000E3AE8" w:rsidRPr="00E95586" w:rsidRDefault="004A2D7D" w:rsidP="00230CAF">
      <w:pPr>
        <w:spacing w:line="560" w:lineRule="exact"/>
        <w:ind w:firstLineChars="200" w:firstLine="616"/>
        <w:rPr>
          <w:rFonts w:ascii="Times New Roman" w:eastAsia="仿宋_GB2312" w:hAnsi="Times New Roman" w:cs="仿宋_GB2312"/>
          <w:color w:val="1F2329"/>
          <w:spacing w:val="-6"/>
          <w:kern w:val="0"/>
          <w:sz w:val="32"/>
          <w:szCs w:val="32"/>
        </w:rPr>
      </w:pPr>
      <w:r w:rsidRPr="004A2D7D">
        <w:rPr>
          <w:rFonts w:ascii="Times New Roman" w:eastAsia="仿宋_GB2312" w:hAnsi="Times New Roman" w:cs="仿宋_GB2312" w:hint="eastAsia"/>
          <w:color w:val="1F2329"/>
          <w:spacing w:val="-6"/>
          <w:kern w:val="0"/>
          <w:sz w:val="32"/>
          <w:szCs w:val="32"/>
        </w:rPr>
        <w:t>基于以上研究成果，提出以下五方面落地举措</w:t>
      </w:r>
      <w:r>
        <w:rPr>
          <w:rFonts w:ascii="Times New Roman" w:eastAsia="仿宋_GB2312" w:hAnsi="Times New Roman" w:cs="仿宋_GB2312" w:hint="eastAsia"/>
          <w:color w:val="1F2329"/>
          <w:spacing w:val="-6"/>
          <w:kern w:val="0"/>
          <w:sz w:val="32"/>
          <w:szCs w:val="32"/>
        </w:rPr>
        <w:t>：</w:t>
      </w:r>
    </w:p>
    <w:p w:rsidR="000E3AE8" w:rsidRDefault="00497E53" w:rsidP="00230CAF">
      <w:pPr>
        <w:pStyle w:val="a3"/>
        <w:ind w:firstLineChars="0" w:firstLine="616"/>
        <w:rPr>
          <w:rFonts w:ascii="楷体_GB2312" w:eastAsia="楷体_GB2312" w:hAnsi="楷体_GB2312" w:cs="楷体_GB2312"/>
        </w:rPr>
      </w:pPr>
      <w:r w:rsidRPr="00D93B61">
        <w:rPr>
          <w:rStyle w:val="20"/>
          <w:rFonts w:hint="eastAsia"/>
          <w:bCs/>
        </w:rPr>
        <w:t>（一）</w:t>
      </w:r>
      <w:r w:rsidRPr="00D93B61">
        <w:rPr>
          <w:rStyle w:val="20"/>
          <w:bCs/>
        </w:rPr>
        <w:t>紧扣产业需求实施靶向引才</w:t>
      </w:r>
      <w:r w:rsidRPr="00D93B61">
        <w:rPr>
          <w:bCs/>
          <w:color w:val="1F2329"/>
        </w:rPr>
        <w:t>。</w:t>
      </w:r>
      <w:r>
        <w:rPr>
          <w:color w:val="1F2329"/>
        </w:rPr>
        <w:t>聚焦</w:t>
      </w:r>
      <w:r>
        <w:rPr>
          <w:color w:val="1F2329"/>
        </w:rPr>
        <w:t>14</w:t>
      </w:r>
      <w:r>
        <w:rPr>
          <w:color w:val="1F2329"/>
        </w:rPr>
        <w:t>个重点产业，依据产业</w:t>
      </w:r>
      <w:r>
        <w:rPr>
          <w:color w:val="1F2329"/>
        </w:rPr>
        <w:t>—</w:t>
      </w:r>
      <w:r>
        <w:rPr>
          <w:color w:val="1F2329"/>
        </w:rPr>
        <w:t>院校匹配结果制定差异化对接方案，主动对接全球顶尖教育资源，与高校</w:t>
      </w:r>
      <w:r w:rsidRPr="008C154B">
        <w:rPr>
          <w:color w:val="1F2329"/>
        </w:rPr>
        <w:t>签</w:t>
      </w:r>
      <w:r w:rsidRPr="008C154B">
        <w:t>订</w:t>
      </w:r>
      <w:r w:rsidRPr="008C154B">
        <w:rPr>
          <w:rFonts w:ascii="仿宋" w:eastAsia="仿宋" w:hAnsi="仿宋"/>
        </w:rPr>
        <w:t>“</w:t>
      </w:r>
      <w:r w:rsidRPr="008C154B">
        <w:t>朝阳区就业创业工作站</w:t>
      </w:r>
      <w:r w:rsidRPr="008C154B">
        <w:rPr>
          <w:rFonts w:ascii="仿宋" w:eastAsia="仿宋" w:hAnsi="仿宋"/>
        </w:rPr>
        <w:t>”</w:t>
      </w:r>
      <w:r w:rsidRPr="008C154B">
        <w:t>协议，对中国香港、新加坡、英国、澳大利亚等国家和地区院校，依托</w:t>
      </w:r>
      <w:r w:rsidRPr="008C154B">
        <w:rPr>
          <w:rFonts w:ascii="仿宋" w:eastAsia="仿宋" w:hAnsi="仿宋"/>
        </w:rPr>
        <w:t>“</w:t>
      </w:r>
      <w:r w:rsidRPr="008C154B">
        <w:rPr>
          <w:color w:val="1F2329"/>
        </w:rPr>
        <w:t>灯塔计划</w:t>
      </w:r>
      <w:r w:rsidRPr="008C154B">
        <w:rPr>
          <w:rFonts w:ascii="仿宋" w:eastAsia="仿宋" w:hAnsi="仿宋"/>
          <w:color w:val="1F2329"/>
        </w:rPr>
        <w:t>”</w:t>
      </w:r>
      <w:r w:rsidRPr="008C154B">
        <w:rPr>
          <w:color w:val="1F2329"/>
        </w:rPr>
        <w:t>全</w:t>
      </w:r>
      <w:r>
        <w:t>球人才定向挖掘机制，拓展国际化人才引进渠道。</w:t>
      </w:r>
    </w:p>
    <w:p w:rsidR="000E3AE8" w:rsidRPr="00D93B61" w:rsidRDefault="00497E53" w:rsidP="00230CAF">
      <w:pPr>
        <w:pStyle w:val="a3"/>
        <w:ind w:firstLineChars="0" w:firstLine="616"/>
        <w:rPr>
          <w:rFonts w:ascii="楷体_GB2312" w:eastAsia="楷体_GB2312" w:hAnsi="楷体_GB2312" w:cs="楷体_GB2312"/>
        </w:rPr>
      </w:pPr>
      <w:r w:rsidRPr="00D93B61">
        <w:rPr>
          <w:rStyle w:val="20"/>
          <w:rFonts w:hint="eastAsia"/>
          <w:bCs/>
        </w:rPr>
        <w:t>（二）</w:t>
      </w:r>
      <w:r w:rsidRPr="00D93B61">
        <w:rPr>
          <w:rStyle w:val="20"/>
          <w:bCs/>
        </w:rPr>
        <w:t>搭建数据大脑实现精准匹配</w:t>
      </w:r>
      <w:r w:rsidRPr="00D93B61">
        <w:rPr>
          <w:bCs/>
          <w:color w:val="1F2329"/>
        </w:rPr>
        <w:t>。</w:t>
      </w:r>
      <w:r w:rsidRPr="00D93B61">
        <w:rPr>
          <w:color w:val="1F2329"/>
        </w:rPr>
        <w:t>构建产才融合数字化平台，建立人才能力</w:t>
      </w:r>
      <w:proofErr w:type="gramStart"/>
      <w:r w:rsidRPr="00D93B61">
        <w:rPr>
          <w:color w:val="1F2329"/>
        </w:rPr>
        <w:t>量化赋分体系</w:t>
      </w:r>
      <w:proofErr w:type="gramEnd"/>
      <w:r w:rsidRPr="00D93B61">
        <w:rPr>
          <w:color w:val="1F2329"/>
        </w:rPr>
        <w:t>，实现岗位智能匹配，并</w:t>
      </w:r>
      <w:proofErr w:type="gramStart"/>
      <w:r w:rsidRPr="00D93B61">
        <w:rPr>
          <w:color w:val="1F2329"/>
        </w:rPr>
        <w:t>将赋分结果</w:t>
      </w:r>
      <w:proofErr w:type="gramEnd"/>
      <w:r w:rsidRPr="00D93B61">
        <w:rPr>
          <w:color w:val="1F2329"/>
        </w:rPr>
        <w:t>与落户、住房、就业扶持等政策直接挂钩，形成精准引才闭环。</w:t>
      </w:r>
    </w:p>
    <w:p w:rsidR="000E3AE8" w:rsidRPr="00D93B61" w:rsidRDefault="00497E53" w:rsidP="00230CAF">
      <w:pPr>
        <w:pStyle w:val="a3"/>
        <w:ind w:firstLineChars="0" w:firstLine="616"/>
        <w:rPr>
          <w:rFonts w:ascii="楷体_GB2312" w:eastAsia="楷体_GB2312" w:hAnsi="楷体_GB2312" w:cs="楷体_GB2312"/>
        </w:rPr>
      </w:pPr>
      <w:r w:rsidRPr="00D93B61">
        <w:rPr>
          <w:rStyle w:val="20"/>
          <w:rFonts w:hint="eastAsia"/>
          <w:bCs/>
        </w:rPr>
        <w:lastRenderedPageBreak/>
        <w:t>（三）</w:t>
      </w:r>
      <w:r w:rsidRPr="00D93B61">
        <w:rPr>
          <w:rStyle w:val="20"/>
          <w:bCs/>
        </w:rPr>
        <w:t>创新服务模式优化招聘体验</w:t>
      </w:r>
      <w:r w:rsidRPr="00D93B61">
        <w:rPr>
          <w:bCs/>
          <w:color w:val="1F2329"/>
        </w:rPr>
        <w:t>。</w:t>
      </w:r>
      <w:r w:rsidRPr="00D93B61">
        <w:rPr>
          <w:color w:val="1F2329"/>
        </w:rPr>
        <w:t>推动岗位精准推送，开展校园招聘周、企业开放日等沉浸式活动，聚焦政策宣传、招聘服务、就业指导、创业服务、职业培训等六项进校园服务，组织分类专项招聘及沉浸式引才活动，提供阶梯式就业服务。</w:t>
      </w:r>
    </w:p>
    <w:p w:rsidR="000E3AE8" w:rsidRPr="00D93B61" w:rsidRDefault="00497E53" w:rsidP="00230CAF">
      <w:pPr>
        <w:pStyle w:val="a3"/>
        <w:ind w:firstLineChars="0" w:firstLine="616"/>
        <w:rPr>
          <w:rFonts w:ascii="楷体_GB2312" w:eastAsia="楷体_GB2312" w:hAnsi="楷体_GB2312" w:cs="楷体_GB2312"/>
        </w:rPr>
      </w:pPr>
      <w:r w:rsidRPr="00D93B61">
        <w:rPr>
          <w:rStyle w:val="20"/>
          <w:rFonts w:hint="eastAsia"/>
        </w:rPr>
        <w:t>（</w:t>
      </w:r>
      <w:r w:rsidRPr="00D93B61">
        <w:rPr>
          <w:rStyle w:val="20"/>
          <w:rFonts w:hint="eastAsia"/>
          <w:bCs/>
        </w:rPr>
        <w:t>四）</w:t>
      </w:r>
      <w:r w:rsidRPr="00D93B61">
        <w:rPr>
          <w:rStyle w:val="20"/>
          <w:bCs/>
        </w:rPr>
        <w:t>强化政策保障</w:t>
      </w:r>
      <w:proofErr w:type="gramStart"/>
      <w:r w:rsidRPr="00D93B61">
        <w:rPr>
          <w:rStyle w:val="20"/>
          <w:bCs/>
        </w:rPr>
        <w:t>增强留才引力</w:t>
      </w:r>
      <w:proofErr w:type="gramEnd"/>
      <w:r w:rsidRPr="00D93B61">
        <w:rPr>
          <w:bCs/>
          <w:color w:val="1F2329"/>
        </w:rPr>
        <w:t>。</w:t>
      </w:r>
      <w:r w:rsidRPr="00D93B61">
        <w:rPr>
          <w:color w:val="1F2329"/>
        </w:rPr>
        <w:t>集成落户支持、安居保障、资金扶持、全程服务四大政策礼包，切实解决人才后顾之忧，提升人才在朝阳就业意愿。</w:t>
      </w:r>
    </w:p>
    <w:p w:rsidR="000E3AE8" w:rsidRPr="00D93B61" w:rsidRDefault="00497E53" w:rsidP="00230CAF">
      <w:pPr>
        <w:pStyle w:val="a3"/>
        <w:ind w:firstLineChars="0" w:firstLine="616"/>
        <w:rPr>
          <w:rFonts w:ascii="楷体_GB2312" w:eastAsia="楷体_GB2312" w:hAnsi="楷体_GB2312" w:cs="楷体_GB2312"/>
        </w:rPr>
      </w:pPr>
      <w:r w:rsidRPr="00D93B61">
        <w:rPr>
          <w:rStyle w:val="20"/>
          <w:rFonts w:hint="eastAsia"/>
          <w:bCs/>
        </w:rPr>
        <w:t>（五）</w:t>
      </w:r>
      <w:r w:rsidRPr="00D93B61">
        <w:rPr>
          <w:rStyle w:val="20"/>
          <w:bCs/>
        </w:rPr>
        <w:t>健全动态机制迭代寻才地图</w:t>
      </w:r>
      <w:r w:rsidRPr="00D93B61">
        <w:rPr>
          <w:bCs/>
          <w:color w:val="1F2329"/>
        </w:rPr>
        <w:t>。</w:t>
      </w:r>
      <w:r w:rsidRPr="00D93B61">
        <w:rPr>
          <w:color w:val="1F2329"/>
        </w:rPr>
        <w:t>建立年度动态更新机制，根据生源、意愿、产业需求变化调整核心院校矩阵，推动评估模型与数字化系统融合，为靶向引才提供持续支撑。</w:t>
      </w:r>
    </w:p>
    <w:p w:rsidR="000E3AE8" w:rsidRPr="00D93B61" w:rsidRDefault="000E3AE8" w:rsidP="00230CAF">
      <w:pPr>
        <w:pStyle w:val="a3"/>
        <w:ind w:firstLine="616"/>
      </w:pPr>
    </w:p>
    <w:p w:rsidR="000E3AE8" w:rsidRDefault="000E3AE8" w:rsidP="00230CAF">
      <w:pPr>
        <w:pStyle w:val="a3"/>
        <w:ind w:firstLine="616"/>
      </w:pPr>
    </w:p>
    <w:sectPr w:rsidR="000E3AE8">
      <w:footerReference w:type="even" r:id="rId8"/>
      <w:footerReference w:type="default" r:id="rId9"/>
      <w:pgSz w:w="11906" w:h="16838"/>
      <w:pgMar w:top="2098" w:right="1474" w:bottom="1984" w:left="1587" w:header="851" w:footer="1417" w:gutter="0"/>
      <w:pgNumType w:start="1"/>
      <w:cols w:space="425"/>
      <w:docGrid w:type="linesAndChars" w:linePitch="579" w:charSpace="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F9E" w:rsidRDefault="001D2F9E">
      <w:r>
        <w:separator/>
      </w:r>
    </w:p>
  </w:endnote>
  <w:endnote w:type="continuationSeparator" w:id="0">
    <w:p w:rsidR="001D2F9E" w:rsidRDefault="001D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00"/>
    <w:family w:val="auto"/>
    <w:pitch w:val="default"/>
  </w:font>
  <w:font w:name="方正小标宋简体">
    <w:panose1 w:val="02000000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4EB" w:rsidRDefault="00AE04EB">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E04EB" w:rsidRDefault="00AE04EB">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1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" filled="f" stroked="f" strokeweight=".5pt">
              <v:textbox style="mso-fit-shape-to-text:t" inset="16pt,0,16pt,0">
                <w:txbxContent>
                  <w:p w:rsidR="00AE04EB" w:rsidRDefault="00AE04EB">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4EB" w:rsidRDefault="00AE04EB">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E04EB" w:rsidRDefault="00AE04EB">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92.8pt;margin-top:1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" filled="f" stroked="f" strokeweight=".5pt">
              <v:textbox style="mso-fit-shape-to-text:t" inset="16pt,0,16pt,0">
                <w:txbxContent>
                  <w:p w:rsidR="00AE04EB" w:rsidRDefault="00AE04EB">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F9E" w:rsidRDefault="001D2F9E">
      <w:r>
        <w:separator/>
      </w:r>
    </w:p>
  </w:footnote>
  <w:footnote w:type="continuationSeparator" w:id="0">
    <w:p w:rsidR="001D2F9E" w:rsidRDefault="001D2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0E6E75"/>
    <w:multiLevelType w:val="singleLevel"/>
    <w:tmpl w:val="6A0E6E75"/>
    <w:lvl w:ilvl="0">
      <w:start w:val="4"/>
      <w:numFmt w:val="chineseCount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evenAndOddHeaders/>
  <w:drawingGridHorizontalSpacing w:val="158"/>
  <w:drawingGridVerticalSpacing w:val="290"/>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E8"/>
    <w:rsid w:val="00083680"/>
    <w:rsid w:val="000966FD"/>
    <w:rsid w:val="000A1525"/>
    <w:rsid w:val="000E3AE8"/>
    <w:rsid w:val="001B5A5A"/>
    <w:rsid w:val="001D2F9E"/>
    <w:rsid w:val="00230CAF"/>
    <w:rsid w:val="002E218B"/>
    <w:rsid w:val="003E5695"/>
    <w:rsid w:val="00497E53"/>
    <w:rsid w:val="004A2D7D"/>
    <w:rsid w:val="005939DE"/>
    <w:rsid w:val="005E7620"/>
    <w:rsid w:val="006A3ED9"/>
    <w:rsid w:val="007037D5"/>
    <w:rsid w:val="00727E12"/>
    <w:rsid w:val="0081570C"/>
    <w:rsid w:val="008B3A89"/>
    <w:rsid w:val="008C154B"/>
    <w:rsid w:val="00961855"/>
    <w:rsid w:val="00AA6965"/>
    <w:rsid w:val="00AE04EB"/>
    <w:rsid w:val="00BF2401"/>
    <w:rsid w:val="00C772B6"/>
    <w:rsid w:val="00CF15AA"/>
    <w:rsid w:val="00D11AD2"/>
    <w:rsid w:val="00D93B61"/>
    <w:rsid w:val="00E95586"/>
    <w:rsid w:val="00EF5B26"/>
    <w:rsid w:val="00FB5A8F"/>
    <w:rsid w:val="00FE4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7E47E"/>
  <w15:docId w15:val="{01C9708E-F0B6-40CB-BC63-B22CA5CB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paragraph" w:styleId="2">
    <w:name w:val="heading 2"/>
    <w:next w:val="a"/>
    <w:link w:val="20"/>
    <w:unhideWhenUsed/>
    <w:qFormat/>
    <w:pPr>
      <w:keepNext/>
      <w:keepLines/>
      <w:spacing w:line="560" w:lineRule="exact"/>
      <w:ind w:firstLineChars="200" w:firstLine="894"/>
      <w:outlineLvl w:val="1"/>
    </w:pPr>
    <w:rPr>
      <w:rFonts w:eastAsia="楷体_GB2312" w:cs="楷体_GB2312"/>
      <w:sz w:val="32"/>
      <w:szCs w:val="32"/>
    </w:rPr>
  </w:style>
  <w:style w:type="paragraph" w:styleId="3">
    <w:name w:val="heading 3"/>
    <w:next w:val="a"/>
    <w:unhideWhenUsed/>
    <w:qFormat/>
    <w:pPr>
      <w:keepNext/>
      <w:keepLines/>
      <w:spacing w:line="560" w:lineRule="exact"/>
      <w:ind w:firstLineChars="200" w:firstLine="894"/>
      <w:outlineLvl w:val="2"/>
    </w:pPr>
    <w:rPr>
      <w:rFonts w:eastAsia="仿宋_GB2312" w:cs="仿宋_GB2312"/>
      <w:sz w:val="32"/>
      <w:szCs w:val="32"/>
    </w:rPr>
  </w:style>
  <w:style w:type="paragraph" w:styleId="4">
    <w:name w:val="heading 4"/>
    <w:next w:val="a"/>
    <w:unhideWhenUsed/>
    <w:qFormat/>
    <w:pPr>
      <w:keepNext/>
      <w:keepLines/>
      <w:spacing w:line="560" w:lineRule="exact"/>
      <w:ind w:firstLineChars="200" w:firstLine="894"/>
      <w:outlineLvl w:val="3"/>
    </w:pPr>
    <w:rPr>
      <w:rFonts w:eastAsia="仿宋_GB2312" w:cs="仿宋_GB2312"/>
      <w:sz w:val="32"/>
      <w:szCs w:val="32"/>
    </w:rPr>
  </w:style>
  <w:style w:type="paragraph" w:styleId="5">
    <w:name w:val="heading 5"/>
    <w:next w:val="a"/>
    <w:unhideWhenUsed/>
    <w:qFormat/>
    <w:pPr>
      <w:spacing w:line="560" w:lineRule="exact"/>
      <w:ind w:firstLineChars="200" w:firstLine="894"/>
      <w:outlineLvl w:val="4"/>
    </w:pPr>
    <w:rPr>
      <w:rFonts w:eastAsia="仿宋_GB2312" w:cs="仿宋_GB2312"/>
      <w:sz w:val="32"/>
      <w:szCs w:val="32"/>
    </w:rPr>
  </w:style>
  <w:style w:type="paragraph" w:styleId="6">
    <w:name w:val="heading 6"/>
    <w:next w:val="a"/>
    <w:unhideWhenUsed/>
    <w:qFormat/>
    <w:pPr>
      <w:spacing w:line="560" w:lineRule="exact"/>
      <w:ind w:firstLineChars="200" w:firstLine="894"/>
      <w:outlineLvl w:val="5"/>
    </w:pPr>
    <w:rPr>
      <w:rFonts w:eastAsia="仿宋_GB2312" w:cs="仿宋_GB2312"/>
      <w:sz w:val="32"/>
      <w:szCs w:val="32"/>
    </w:rPr>
  </w:style>
  <w:style w:type="paragraph" w:styleId="7">
    <w:name w:val="heading 7"/>
    <w:next w:val="a"/>
    <w:unhideWhenUsed/>
    <w:qFormat/>
    <w:pPr>
      <w:spacing w:line="560" w:lineRule="exact"/>
      <w:ind w:firstLineChars="200" w:firstLine="894"/>
      <w:outlineLvl w:val="6"/>
    </w:pPr>
    <w:rPr>
      <w:rFonts w:eastAsia="仿宋_GB2312" w:cs="仿宋_GB2312"/>
      <w:sz w:val="32"/>
      <w:szCs w:val="32"/>
    </w:rPr>
  </w:style>
  <w:style w:type="paragraph" w:styleId="8">
    <w:name w:val="heading 8"/>
    <w:next w:val="a"/>
    <w:unhideWhenUsed/>
    <w:qFormat/>
    <w:pPr>
      <w:spacing w:line="560" w:lineRule="exact"/>
      <w:ind w:firstLineChars="200" w:firstLine="894"/>
      <w:outlineLvl w:val="7"/>
    </w:pPr>
    <w:rPr>
      <w:rFonts w:eastAsia="仿宋_GB2312" w:cs="仿宋_GB2312"/>
      <w:sz w:val="32"/>
      <w:szCs w:val="32"/>
    </w:rPr>
  </w:style>
  <w:style w:type="paragraph" w:styleId="9">
    <w:name w:val="heading 9"/>
    <w:next w:val="a"/>
    <w:unhideWhenUsed/>
    <w:qFormat/>
    <w:pPr>
      <w:spacing w:line="560" w:lineRule="exact"/>
      <w:ind w:firstLineChars="200" w:firstLine="894"/>
      <w:outlineLvl w:val="8"/>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spacing w:line="560" w:lineRule="exact"/>
      <w:ind w:firstLineChars="200" w:firstLine="630"/>
      <w:jc w:val="both"/>
    </w:pPr>
    <w:rPr>
      <w:rFonts w:eastAsia="仿宋_GB2312" w:cs="仿宋_GB2312"/>
      <w:spacing w:val="-6"/>
      <w:sz w:val="32"/>
      <w:szCs w:val="32"/>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Subtitle"/>
    <w:qFormat/>
    <w:pPr>
      <w:spacing w:line="720" w:lineRule="exact"/>
      <w:jc w:val="center"/>
    </w:pPr>
    <w:rPr>
      <w:rFonts w:eastAsia="仿宋_GB2312" w:cs="仿宋_GB2312"/>
      <w:kern w:val="28"/>
      <w:sz w:val="32"/>
      <w:szCs w:val="32"/>
    </w:rPr>
  </w:style>
  <w:style w:type="paragraph" w:styleId="a7">
    <w:name w:val="Title"/>
    <w:qFormat/>
    <w:pPr>
      <w:spacing w:line="720" w:lineRule="exact"/>
      <w:jc w:val="center"/>
    </w:pPr>
    <w:rPr>
      <w:rFonts w:ascii="方正小标宋简体" w:eastAsia="方正小标宋简体" w:hAnsi="方正小标宋简体" w:cs="方正小标宋简体"/>
      <w:sz w:val="44"/>
      <w:szCs w:val="44"/>
    </w:rPr>
  </w:style>
  <w:style w:type="character" w:styleId="a8">
    <w:name w:val="Strong"/>
    <w:basedOn w:val="a0"/>
    <w:qFormat/>
    <w:rPr>
      <w:b/>
    </w:rPr>
  </w:style>
  <w:style w:type="character" w:customStyle="1" w:styleId="20">
    <w:name w:val="标题 2 字符"/>
    <w:link w:val="2"/>
    <w:qFormat/>
    <w:rPr>
      <w:rFonts w:ascii="Times New Roman" w:eastAsia="楷体_GB2312" w:hAnsi="Times New Roman" w:cs="楷体_GB2312"/>
      <w:sz w:val="32"/>
      <w:szCs w:val="32"/>
    </w:rPr>
  </w:style>
  <w:style w:type="table" w:customStyle="1" w:styleId="21">
    <w:name w:val="无格式表格 21"/>
    <w:basedOn w:val="a1"/>
    <w:uiPriority w:val="42"/>
    <w:rsid w:val="006A3ED9"/>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9">
    <w:name w:val="caption"/>
    <w:basedOn w:val="a"/>
    <w:next w:val="a"/>
    <w:uiPriority w:val="35"/>
    <w:qFormat/>
    <w:rsid w:val="00CF15AA"/>
    <w:pPr>
      <w:spacing w:beforeLines="50" w:afterLines="50" w:line="360" w:lineRule="auto"/>
      <w:jc w:val="center"/>
    </w:pPr>
    <w:rPr>
      <w:rFonts w:ascii="Times New Roman" w:eastAsia="黑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535630">
      <w:bodyDiv w:val="1"/>
      <w:marLeft w:val="0"/>
      <w:marRight w:val="0"/>
      <w:marTop w:val="0"/>
      <w:marBottom w:val="0"/>
      <w:divBdr>
        <w:top w:val="none" w:sz="0" w:space="0" w:color="auto"/>
        <w:left w:val="none" w:sz="0" w:space="0" w:color="auto"/>
        <w:bottom w:val="none" w:sz="0" w:space="0" w:color="auto"/>
        <w:right w:val="none" w:sz="0" w:space="0" w:color="auto"/>
      </w:divBdr>
    </w:div>
    <w:div w:id="1137802257">
      <w:bodyDiv w:val="1"/>
      <w:marLeft w:val="0"/>
      <w:marRight w:val="0"/>
      <w:marTop w:val="0"/>
      <w:marBottom w:val="0"/>
      <w:divBdr>
        <w:top w:val="none" w:sz="0" w:space="0" w:color="auto"/>
        <w:left w:val="none" w:sz="0" w:space="0" w:color="auto"/>
        <w:bottom w:val="none" w:sz="0" w:space="0" w:color="auto"/>
        <w:right w:val="none" w:sz="0" w:space="0" w:color="auto"/>
      </w:divBdr>
    </w:div>
    <w:div w:id="1859540853">
      <w:bodyDiv w:val="1"/>
      <w:marLeft w:val="0"/>
      <w:marRight w:val="0"/>
      <w:marTop w:val="0"/>
      <w:marBottom w:val="0"/>
      <w:divBdr>
        <w:top w:val="none" w:sz="0" w:space="0" w:color="auto"/>
        <w:left w:val="none" w:sz="0" w:space="0" w:color="auto"/>
        <w:bottom w:val="none" w:sz="0" w:space="0" w:color="auto"/>
        <w:right w:val="none" w:sz="0" w:space="0" w:color="auto"/>
      </w:divBdr>
      <w:divsChild>
        <w:div w:id="1342662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1847</Words>
  <Characters>10529</Characters>
  <Application>Microsoft Office Word</Application>
  <DocSecurity>0</DocSecurity>
  <Lines>87</Lines>
  <Paragraphs>24</Paragraphs>
  <ScaleCrop>false</ScaleCrop>
  <Company>51Job</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13490</dc:creator>
  <cp:lastModifiedBy>pan.mandy/潘秋贤_沪_CM</cp:lastModifiedBy>
  <cp:revision>21</cp:revision>
  <dcterms:created xsi:type="dcterms:W3CDTF">2026-05-25T10:40:00Z</dcterms:created>
  <dcterms:modified xsi:type="dcterms:W3CDTF">2026-05-25T12:05:00Z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2052-12.43.1</vt:lpwstr>
  </property>
  <property fmtid="{D5CDD505-2E9C-101B-9397-08002B2CF9AE}" pid="3" name="KSOTemplateDocerSaveRecord">
    <vt:lpwstr>eyJoZGlkIjoiMzEwNTM5NzYwMDRjMzkwZTVkZjY2ODkwMGIxNGU0OTUiLCJ1c2VySWQiOiIzNTYwMTc0MTYifQ==</vt:lpwstr>
  </property>
  <property fmtid="{D5CDD505-2E9C-101B-9397-08002B2CF9AE}" pid="4" name="ICV">
    <vt:lpwstr>B0F88130B15B4C238257BE695286449F_12</vt:lpwstr>
  </property>
</Properties>
</file>